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D7EBE" w:rsidRPr="007619A2" w:rsidRDefault="006D7EBE" w:rsidP="006D7EBE">
      <w:pPr>
        <w:pStyle w:val="Bezodstpw"/>
        <w:rPr>
          <w:rFonts w:ascii="Arial" w:hAnsi="Arial" w:cs="Arial"/>
          <w:b/>
          <w:sz w:val="20"/>
          <w:szCs w:val="20"/>
        </w:rPr>
      </w:pPr>
      <w:r w:rsidRPr="007619A2">
        <w:rPr>
          <w:rFonts w:ascii="Arial" w:hAnsi="Arial" w:cs="Arial"/>
          <w:b/>
          <w:sz w:val="20"/>
          <w:szCs w:val="20"/>
        </w:rPr>
        <w:t xml:space="preserve">1/5. </w:t>
      </w:r>
      <w:r w:rsidRPr="007619A2">
        <w:rPr>
          <w:rFonts w:ascii="Arial" w:hAnsi="Arial" w:cs="Arial"/>
          <w:b/>
          <w:sz w:val="20"/>
          <w:szCs w:val="20"/>
        </w:rPr>
        <w:tab/>
      </w:r>
      <w:r w:rsidRPr="007619A2">
        <w:rPr>
          <w:rFonts w:ascii="Arial" w:hAnsi="Arial" w:cs="Arial"/>
          <w:b/>
          <w:sz w:val="20"/>
          <w:szCs w:val="20"/>
        </w:rPr>
        <w:tab/>
        <w:t>ROBOTY MALARSKIE</w:t>
      </w:r>
    </w:p>
    <w:p w:rsidR="006D7EBE" w:rsidRDefault="006D7EBE" w:rsidP="006D7EBE">
      <w:pPr>
        <w:pStyle w:val="Bezodstpw"/>
        <w:rPr>
          <w:rFonts w:ascii="Arial" w:hAnsi="Arial" w:cs="Arial"/>
          <w:b/>
          <w:sz w:val="20"/>
          <w:szCs w:val="20"/>
        </w:rPr>
      </w:pPr>
      <w:r>
        <w:rPr>
          <w:rFonts w:ascii="Arial" w:hAnsi="Arial" w:cs="Arial"/>
          <w:b/>
          <w:sz w:val="20"/>
          <w:szCs w:val="20"/>
        </w:rPr>
        <w:t>1.5.3</w:t>
      </w:r>
      <w:r w:rsidRPr="007619A2">
        <w:rPr>
          <w:rFonts w:ascii="Arial" w:hAnsi="Arial" w:cs="Arial"/>
          <w:b/>
          <w:sz w:val="20"/>
          <w:szCs w:val="20"/>
        </w:rPr>
        <w:t xml:space="preserve">. </w:t>
      </w:r>
      <w:r w:rsidRPr="007619A2">
        <w:rPr>
          <w:rFonts w:ascii="Arial" w:hAnsi="Arial" w:cs="Arial"/>
          <w:b/>
          <w:sz w:val="20"/>
          <w:szCs w:val="20"/>
        </w:rPr>
        <w:tab/>
      </w:r>
      <w:r w:rsidRPr="007619A2">
        <w:rPr>
          <w:rFonts w:ascii="Arial" w:hAnsi="Arial" w:cs="Arial"/>
          <w:b/>
          <w:sz w:val="20"/>
          <w:szCs w:val="20"/>
        </w:rPr>
        <w:tab/>
        <w:t>Hydrofobizacja</w:t>
      </w:r>
    </w:p>
    <w:p w:rsidR="00E6783E" w:rsidRPr="007619A2" w:rsidRDefault="00E6783E" w:rsidP="006D7EBE">
      <w:pPr>
        <w:pStyle w:val="Bezodstpw"/>
        <w:rPr>
          <w:rFonts w:ascii="Arial" w:hAnsi="Arial" w:cs="Arial"/>
          <w:b/>
          <w:sz w:val="20"/>
          <w:szCs w:val="20"/>
        </w:rPr>
      </w:pPr>
    </w:p>
    <w:p w:rsidR="006D7EBE" w:rsidRDefault="00E6783E" w:rsidP="00E6783E">
      <w:pPr>
        <w:autoSpaceDE w:val="0"/>
        <w:autoSpaceDN w:val="0"/>
        <w:adjustRightInd w:val="0"/>
        <w:rPr>
          <w:rFonts w:ascii="Arial" w:eastAsiaTheme="minorHAnsi" w:hAnsi="Arial" w:cs="Arial"/>
          <w:lang w:eastAsia="en-US"/>
        </w:rPr>
      </w:pPr>
      <w:r>
        <w:rPr>
          <w:rFonts w:ascii="Arial" w:eastAsiaTheme="minorHAnsi" w:hAnsi="Arial" w:cs="Arial"/>
          <w:lang w:eastAsia="en-US"/>
        </w:rPr>
        <w:t xml:space="preserve">Kod CPV </w:t>
      </w:r>
      <w:r w:rsidRPr="00E6783E">
        <w:rPr>
          <w:rFonts w:ascii="Arial" w:eastAsiaTheme="minorHAnsi" w:hAnsi="Arial" w:cs="Arial"/>
          <w:i/>
          <w:lang w:eastAsia="en-US"/>
        </w:rPr>
        <w:t>45442300-0</w:t>
      </w:r>
      <w:r w:rsidRPr="00E6783E">
        <w:rPr>
          <w:rFonts w:ascii="Arial" w:eastAsiaTheme="minorHAnsi" w:hAnsi="Arial" w:cs="Arial"/>
          <w:lang w:eastAsia="en-US"/>
        </w:rPr>
        <w:t xml:space="preserve"> Zabezpieczanie </w:t>
      </w:r>
      <w:r w:rsidRPr="00E6783E">
        <w:rPr>
          <w:rFonts w:ascii="Arial" w:eastAsiaTheme="minorHAnsi" w:hAnsi="Arial" w:cs="Arial"/>
          <w:lang w:eastAsia="en-US"/>
        </w:rPr>
        <w:t>powierzchni</w:t>
      </w:r>
    </w:p>
    <w:p w:rsidR="00E6783E" w:rsidRPr="00E6783E" w:rsidRDefault="00E6783E" w:rsidP="00E6783E">
      <w:pPr>
        <w:autoSpaceDE w:val="0"/>
        <w:autoSpaceDN w:val="0"/>
        <w:adjustRightInd w:val="0"/>
        <w:rPr>
          <w:rFonts w:ascii="Arial" w:eastAsiaTheme="minorHAnsi" w:hAnsi="Arial" w:cs="Arial"/>
          <w:lang w:eastAsia="en-US"/>
        </w:rPr>
      </w:pPr>
      <w:bookmarkStart w:id="0" w:name="_GoBack"/>
      <w:bookmarkEnd w:id="0"/>
    </w:p>
    <w:p w:rsidR="006D7EBE" w:rsidRPr="0021712B" w:rsidRDefault="006D7EBE" w:rsidP="0021712B">
      <w:pPr>
        <w:pStyle w:val="Akapitzlist"/>
        <w:numPr>
          <w:ilvl w:val="0"/>
          <w:numId w:val="5"/>
        </w:numPr>
        <w:spacing w:line="360" w:lineRule="auto"/>
        <w:jc w:val="both"/>
        <w:rPr>
          <w:rFonts w:ascii="Arial" w:hAnsi="Arial" w:cs="Arial"/>
          <w:b/>
          <w:u w:val="single"/>
        </w:rPr>
      </w:pPr>
      <w:r w:rsidRPr="0021712B">
        <w:rPr>
          <w:rFonts w:ascii="Arial" w:hAnsi="Arial" w:cs="Arial"/>
          <w:b/>
          <w:u w:val="single"/>
        </w:rPr>
        <w:t>WSTĘP</w:t>
      </w:r>
    </w:p>
    <w:p w:rsidR="006D7EBE" w:rsidRPr="00BF5E1B" w:rsidRDefault="006D7EBE" w:rsidP="006D7EBE">
      <w:pPr>
        <w:jc w:val="both"/>
        <w:rPr>
          <w:rFonts w:ascii="Arial" w:hAnsi="Arial" w:cs="Arial"/>
        </w:rPr>
      </w:pPr>
      <w:r w:rsidRPr="00BF5E1B">
        <w:rPr>
          <w:rFonts w:ascii="Arial" w:hAnsi="Arial" w:cs="Arial"/>
          <w:b/>
        </w:rPr>
        <w:t>1.1. Przedmiot ST</w:t>
      </w:r>
      <w:r w:rsidRPr="00BF5E1B">
        <w:rPr>
          <w:rFonts w:ascii="Arial" w:hAnsi="Arial" w:cs="Arial"/>
        </w:rPr>
        <w:t xml:space="preserve"> </w:t>
      </w:r>
    </w:p>
    <w:p w:rsidR="006D7EBE" w:rsidRDefault="006D7EBE" w:rsidP="006D7EBE">
      <w:pPr>
        <w:spacing w:before="20" w:after="40" w:line="240" w:lineRule="exact"/>
        <w:jc w:val="both"/>
        <w:rPr>
          <w:rFonts w:ascii="Arial" w:hAnsi="Arial" w:cs="Arial"/>
        </w:rPr>
      </w:pPr>
      <w:r w:rsidRPr="007619A2">
        <w:rPr>
          <w:rFonts w:ascii="Arial" w:hAnsi="Arial" w:cs="Arial"/>
        </w:rPr>
        <w:t xml:space="preserve">Specyfikacja dotyczy wykonania czynności podstawowych i dodatkowych, </w:t>
      </w:r>
      <w:r>
        <w:rPr>
          <w:rFonts w:ascii="Arial" w:hAnsi="Arial" w:cs="Arial"/>
        </w:rPr>
        <w:t>mających na celu wykonanie</w:t>
      </w:r>
      <w:r w:rsidRPr="007619A2">
        <w:rPr>
          <w:rFonts w:ascii="Arial" w:hAnsi="Arial" w:cs="Arial"/>
        </w:rPr>
        <w:t xml:space="preserve"> warstwy hydrofobizującej</w:t>
      </w:r>
      <w:r>
        <w:rPr>
          <w:rFonts w:ascii="Arial" w:hAnsi="Arial" w:cs="Arial"/>
        </w:rPr>
        <w:t xml:space="preserve">. </w:t>
      </w:r>
      <w:r w:rsidRPr="007619A2">
        <w:rPr>
          <w:rFonts w:ascii="Arial" w:hAnsi="Arial" w:cs="Arial"/>
        </w:rPr>
        <w:t>Przedmiotem ST jest określenie wymagań w zakresie robót przygotowawczych, wymagań dotyczących właściwości (parametrów) zastosowanych materiałów oraz wymagań dotyczących wykonania i odbiorów prac budowlanych.</w:t>
      </w:r>
    </w:p>
    <w:p w:rsidR="006D7EBE" w:rsidRDefault="006D7EBE" w:rsidP="006D7EBE">
      <w:pPr>
        <w:spacing w:before="20" w:after="40" w:line="240" w:lineRule="exact"/>
        <w:jc w:val="both"/>
        <w:rPr>
          <w:rFonts w:ascii="Arial" w:hAnsi="Arial" w:cs="Arial"/>
        </w:rPr>
      </w:pPr>
    </w:p>
    <w:p w:rsidR="006D7EBE" w:rsidRPr="00BF5E1B" w:rsidRDefault="006D7EBE" w:rsidP="006D7EBE">
      <w:pPr>
        <w:jc w:val="both"/>
        <w:rPr>
          <w:rFonts w:ascii="Arial" w:hAnsi="Arial" w:cs="Arial"/>
        </w:rPr>
      </w:pPr>
      <w:r w:rsidRPr="00BF5E1B">
        <w:rPr>
          <w:rFonts w:ascii="Arial" w:hAnsi="Arial" w:cs="Arial"/>
          <w:b/>
        </w:rPr>
        <w:t>1.2. Zakres stosowania ST</w:t>
      </w:r>
    </w:p>
    <w:p w:rsidR="006D7EBE" w:rsidRPr="00BF5E1B" w:rsidRDefault="006D7EBE" w:rsidP="006D7EBE">
      <w:pPr>
        <w:jc w:val="both"/>
        <w:rPr>
          <w:rFonts w:ascii="Arial" w:hAnsi="Arial" w:cs="Arial"/>
        </w:rPr>
      </w:pPr>
      <w:r w:rsidRPr="00BF5E1B">
        <w:rPr>
          <w:rFonts w:ascii="Arial" w:hAnsi="Arial" w:cs="Arial"/>
        </w:rPr>
        <w:t>Specyfikacja techniczna jest stosowana jako dokument przy realizacji robót wymienionych w pkt.1.1.</w:t>
      </w:r>
    </w:p>
    <w:p w:rsidR="006D7EBE" w:rsidRPr="00BF5E1B" w:rsidRDefault="006D7EBE" w:rsidP="006D7EBE">
      <w:pPr>
        <w:jc w:val="both"/>
        <w:rPr>
          <w:rFonts w:ascii="Arial" w:hAnsi="Arial" w:cs="Arial"/>
        </w:rPr>
      </w:pPr>
    </w:p>
    <w:p w:rsidR="006D7EBE" w:rsidRPr="00BF5E1B" w:rsidRDefault="006D7EBE" w:rsidP="006D7EBE">
      <w:pPr>
        <w:jc w:val="both"/>
        <w:rPr>
          <w:rFonts w:ascii="Arial" w:hAnsi="Arial" w:cs="Arial"/>
          <w:b/>
        </w:rPr>
      </w:pPr>
      <w:r w:rsidRPr="00BF5E1B">
        <w:rPr>
          <w:rFonts w:ascii="Arial" w:hAnsi="Arial" w:cs="Arial"/>
          <w:b/>
        </w:rPr>
        <w:t>1.3. Zakres robót objętych ST</w:t>
      </w:r>
    </w:p>
    <w:p w:rsidR="006D7EBE" w:rsidRPr="00BF5E1B" w:rsidRDefault="006D7EBE" w:rsidP="006D7EBE">
      <w:pPr>
        <w:jc w:val="both"/>
        <w:rPr>
          <w:rFonts w:ascii="Arial" w:hAnsi="Arial" w:cs="Arial"/>
        </w:rPr>
      </w:pPr>
      <w:r w:rsidRPr="00BF5E1B">
        <w:rPr>
          <w:rFonts w:ascii="Arial" w:hAnsi="Arial" w:cs="Arial"/>
        </w:rPr>
        <w:t xml:space="preserve">Roboty, których dotyczy specyfikacja, obejmują wszystkie czynności umożliwiające i mające na celu naprawy skorodowanej cegły.  </w:t>
      </w:r>
    </w:p>
    <w:p w:rsidR="006D7EBE" w:rsidRPr="007619A2" w:rsidRDefault="006D7EBE" w:rsidP="006D7EBE">
      <w:pPr>
        <w:spacing w:before="20" w:after="40" w:line="240" w:lineRule="exact"/>
        <w:jc w:val="both"/>
        <w:rPr>
          <w:rFonts w:ascii="Arial" w:hAnsi="Arial" w:cs="Arial"/>
        </w:rPr>
      </w:pPr>
    </w:p>
    <w:p w:rsidR="006D7EBE" w:rsidRPr="007619A2" w:rsidRDefault="006D7EBE" w:rsidP="006D7EBE">
      <w:pPr>
        <w:spacing w:before="20" w:after="40" w:line="240" w:lineRule="exact"/>
        <w:jc w:val="both"/>
        <w:rPr>
          <w:rFonts w:ascii="Arial" w:hAnsi="Arial" w:cs="Arial"/>
          <w:b/>
          <w:bCs/>
        </w:rPr>
      </w:pPr>
      <w:r>
        <w:rPr>
          <w:rFonts w:ascii="Arial" w:hAnsi="Arial" w:cs="Arial"/>
          <w:b/>
          <w:bCs/>
        </w:rPr>
        <w:t xml:space="preserve">1.4 </w:t>
      </w:r>
      <w:r w:rsidRPr="007619A2">
        <w:rPr>
          <w:rFonts w:ascii="Arial" w:hAnsi="Arial" w:cs="Arial"/>
          <w:b/>
          <w:bCs/>
        </w:rPr>
        <w:t>Określenia podstawowe, definicje</w:t>
      </w:r>
    </w:p>
    <w:p w:rsidR="006D7EBE" w:rsidRPr="006D7EBE" w:rsidRDefault="006D7EBE" w:rsidP="006D7EBE">
      <w:pPr>
        <w:spacing w:before="20" w:after="40" w:line="240" w:lineRule="exact"/>
        <w:jc w:val="both"/>
        <w:rPr>
          <w:rFonts w:ascii="Arial" w:hAnsi="Arial" w:cs="Arial"/>
        </w:rPr>
      </w:pPr>
      <w:r w:rsidRPr="006D7EBE">
        <w:rPr>
          <w:rFonts w:ascii="Arial" w:hAnsi="Arial" w:cs="Arial"/>
        </w:rPr>
        <w:t xml:space="preserve">podłoże – element budynku, na powierzchni którego ma być nałożony preparat hydrofobizujący. </w:t>
      </w:r>
    </w:p>
    <w:p w:rsidR="006D7EBE" w:rsidRPr="006D7EBE" w:rsidRDefault="006D7EBE" w:rsidP="006D7EBE">
      <w:pPr>
        <w:spacing w:before="20" w:after="40" w:line="240" w:lineRule="exact"/>
        <w:jc w:val="both"/>
        <w:rPr>
          <w:rFonts w:ascii="Arial" w:hAnsi="Arial" w:cs="Arial"/>
        </w:rPr>
      </w:pPr>
      <w:r w:rsidRPr="006D7EBE">
        <w:rPr>
          <w:rFonts w:ascii="Arial" w:hAnsi="Arial" w:cs="Arial"/>
          <w:bCs/>
        </w:rPr>
        <w:t xml:space="preserve">hydrofobizacja (impregnacja hydrofobizujaca) - </w:t>
      </w:r>
      <w:r w:rsidRPr="006D7EBE">
        <w:rPr>
          <w:rFonts w:ascii="Arial" w:hAnsi="Arial" w:cs="Arial"/>
          <w:color w:val="000000"/>
        </w:rPr>
        <w:t>obróbka podłoża (np. muru, tynku, betonu) nadająca jego powierzchni zdolność odpychania wody. Pory i kapilary nie zostają wypełnione, a jedynie ich ścianki są powleczone preparatem. Nie powstaje ciągła warstewka preparatu na zabezpieczanej powierzchni, a jej wygląd zewnętrzny pozostaje niezmieniony lub zmieniony w niewielkim stopniu.</w:t>
      </w:r>
    </w:p>
    <w:p w:rsidR="006D7EBE" w:rsidRPr="006D7EBE" w:rsidRDefault="006D7EBE" w:rsidP="006D7EBE">
      <w:pPr>
        <w:widowControl w:val="0"/>
        <w:autoSpaceDE w:val="0"/>
        <w:autoSpaceDN w:val="0"/>
        <w:adjustRightInd w:val="0"/>
        <w:spacing w:before="57" w:after="57"/>
        <w:jc w:val="both"/>
        <w:rPr>
          <w:rFonts w:ascii="Arial" w:hAnsi="Arial" w:cs="Arial"/>
          <w:color w:val="000000"/>
        </w:rPr>
      </w:pPr>
      <w:r w:rsidRPr="006D7EBE">
        <w:rPr>
          <w:rFonts w:ascii="Arial" w:hAnsi="Arial" w:cs="Arial"/>
          <w:color w:val="000000"/>
        </w:rPr>
        <w:t>wilgotność masowa – wyrażony w % stosunek masy wilgoci znajdującej się w materiale do masy materiału suchego</w:t>
      </w:r>
    </w:p>
    <w:p w:rsidR="006D7EBE" w:rsidRPr="006D7EBE" w:rsidRDefault="006D7EBE" w:rsidP="006D7EBE">
      <w:pPr>
        <w:widowControl w:val="0"/>
        <w:autoSpaceDE w:val="0"/>
        <w:autoSpaceDN w:val="0"/>
        <w:adjustRightInd w:val="0"/>
        <w:spacing w:before="57" w:after="57"/>
        <w:jc w:val="both"/>
        <w:rPr>
          <w:rFonts w:ascii="Arial" w:hAnsi="Arial" w:cs="Arial"/>
        </w:rPr>
      </w:pPr>
      <w:r w:rsidRPr="006D7EBE">
        <w:rPr>
          <w:rFonts w:ascii="Arial" w:hAnsi="Arial" w:cs="Arial"/>
          <w:color w:val="000000"/>
        </w:rPr>
        <w:t>wilgotność względna powietrza – stosunek ciśnienia cząstkowego pary zawartej w powietrzu do ciśnienia pary wodnej nasyconej przy tej samej temperaturze i ciśnieniu powietrza</w:t>
      </w:r>
    </w:p>
    <w:p w:rsidR="006D7EBE" w:rsidRPr="006D7EBE" w:rsidRDefault="006D7EBE" w:rsidP="006D7EBE">
      <w:pPr>
        <w:widowControl w:val="0"/>
        <w:autoSpaceDE w:val="0"/>
        <w:autoSpaceDN w:val="0"/>
        <w:adjustRightInd w:val="0"/>
        <w:spacing w:before="57" w:after="57"/>
        <w:jc w:val="both"/>
        <w:rPr>
          <w:rFonts w:ascii="Arial" w:hAnsi="Arial" w:cs="Arial"/>
        </w:rPr>
      </w:pPr>
      <w:r w:rsidRPr="006D7EBE">
        <w:rPr>
          <w:rFonts w:ascii="Arial" w:hAnsi="Arial" w:cs="Arial"/>
          <w:color w:val="000000"/>
        </w:rPr>
        <w:t>punkt rosy – temperatura, przy której powietrze o określonej zawartości pary wodnej osiągnie stan nasycenia</w:t>
      </w:r>
    </w:p>
    <w:p w:rsidR="009A1C93" w:rsidRDefault="009A1C93" w:rsidP="009A1C93">
      <w:pPr>
        <w:tabs>
          <w:tab w:val="left" w:pos="709"/>
          <w:tab w:val="right" w:leader="dot" w:pos="9072"/>
        </w:tabs>
        <w:spacing w:before="20" w:after="40" w:line="240" w:lineRule="exact"/>
        <w:jc w:val="both"/>
        <w:rPr>
          <w:rFonts w:ascii="Arial" w:hAnsi="Arial" w:cs="Arial"/>
          <w:spacing w:val="-2"/>
        </w:rPr>
      </w:pPr>
    </w:p>
    <w:p w:rsidR="0021712B" w:rsidRPr="00BF5E1B" w:rsidRDefault="0021712B" w:rsidP="0021712B">
      <w:pPr>
        <w:spacing w:line="360" w:lineRule="auto"/>
        <w:jc w:val="both"/>
        <w:rPr>
          <w:rFonts w:ascii="Arial" w:hAnsi="Arial" w:cs="Arial"/>
        </w:rPr>
      </w:pPr>
      <w:r w:rsidRPr="00BF5E1B">
        <w:rPr>
          <w:rFonts w:ascii="Arial" w:hAnsi="Arial" w:cs="Arial"/>
          <w:b/>
        </w:rPr>
        <w:t>1.5.Ogólne wymagania dotyczące robót</w:t>
      </w:r>
    </w:p>
    <w:p w:rsidR="0021712B" w:rsidRPr="00BF5E1B" w:rsidRDefault="0021712B" w:rsidP="0021712B">
      <w:pPr>
        <w:pStyle w:val="Tekstpodstawowywcity"/>
        <w:ind w:left="0"/>
        <w:jc w:val="both"/>
        <w:rPr>
          <w:rFonts w:ascii="Arial" w:hAnsi="Arial" w:cs="Arial"/>
          <w:b/>
          <w:i/>
          <w:iCs/>
        </w:rPr>
      </w:pPr>
      <w:r w:rsidRPr="00BF5E1B">
        <w:rPr>
          <w:rFonts w:ascii="Arial" w:hAnsi="Arial" w:cs="Arial"/>
        </w:rPr>
        <w:t xml:space="preserve">Wykonawca robót jest odpowiedzialny za jakość ich wykonania oraz za zgodność z dokumentacją projektów, ST i poleceniami Inżyniera. </w:t>
      </w:r>
    </w:p>
    <w:p w:rsidR="0021712B" w:rsidRPr="00BF5E1B" w:rsidRDefault="0021712B" w:rsidP="0021712B">
      <w:pPr>
        <w:spacing w:line="360" w:lineRule="auto"/>
        <w:jc w:val="both"/>
        <w:rPr>
          <w:rFonts w:ascii="Arial" w:hAnsi="Arial" w:cs="Arial"/>
          <w:b/>
          <w:i/>
          <w:iCs/>
        </w:rPr>
      </w:pPr>
      <w:r w:rsidRPr="00BF5E1B">
        <w:rPr>
          <w:rFonts w:ascii="Arial" w:hAnsi="Arial" w:cs="Arial"/>
          <w:b/>
          <w:i/>
          <w:iCs/>
        </w:rPr>
        <w:t>1.5.1.Wymogi formalne</w:t>
      </w:r>
    </w:p>
    <w:p w:rsidR="0021712B" w:rsidRPr="00BF5E1B" w:rsidRDefault="0021712B" w:rsidP="0021712B">
      <w:pPr>
        <w:jc w:val="both"/>
        <w:rPr>
          <w:rFonts w:ascii="Arial" w:hAnsi="Arial" w:cs="Arial"/>
          <w:i/>
        </w:rPr>
      </w:pPr>
      <w:r w:rsidRPr="00BF5E1B">
        <w:rPr>
          <w:rFonts w:ascii="Arial" w:hAnsi="Arial" w:cs="Arial"/>
        </w:rPr>
        <w:t>Wykonanie robót winno być zlecone przedsiębiorstwu mającemu właściwe doświadczenie w realizacji tego typu robót i gwarantującemu właściwą jakość wykonania. Roboty murowe winny być wykonane ściśle wg dokumentacji technicznej.</w:t>
      </w:r>
    </w:p>
    <w:p w:rsidR="0021712B" w:rsidRPr="00BF5E1B" w:rsidRDefault="0021712B" w:rsidP="0021712B">
      <w:pPr>
        <w:spacing w:line="360" w:lineRule="auto"/>
        <w:jc w:val="both"/>
        <w:rPr>
          <w:rFonts w:ascii="Arial" w:hAnsi="Arial" w:cs="Arial"/>
        </w:rPr>
      </w:pPr>
      <w:r w:rsidRPr="00BF5E1B">
        <w:rPr>
          <w:rFonts w:ascii="Arial" w:hAnsi="Arial" w:cs="Arial"/>
          <w:b/>
          <w:i/>
          <w:iCs/>
        </w:rPr>
        <w:t>1.5.2.Warunki organizacyjne</w:t>
      </w:r>
    </w:p>
    <w:p w:rsidR="0021712B" w:rsidRPr="00BF5E1B" w:rsidRDefault="0021712B" w:rsidP="0021712B">
      <w:pPr>
        <w:pStyle w:val="Tekstpodstawowywcity"/>
        <w:ind w:left="0"/>
        <w:jc w:val="both"/>
        <w:rPr>
          <w:rFonts w:ascii="Arial" w:hAnsi="Arial" w:cs="Arial"/>
        </w:rPr>
      </w:pPr>
      <w:r w:rsidRPr="00BF5E1B">
        <w:rPr>
          <w:rFonts w:ascii="Arial" w:hAnsi="Arial" w:cs="Arial"/>
        </w:rPr>
        <w:t xml:space="preserve">Przed przystąpieniem do robót wykonawcy oraz nadzór techniczny winny się dokładnie zaznajomić z całością dokumentacji technicznej, w tym także i z pozostałymi odrębnymi częściami dokumentacji (dotyczy to zwłaszcza projektu organizacji robót). Wszelkie ewentualne niejasności w sprawach dokumentacji należy wyjaśnić z autorami poszczególnych opracowań. </w:t>
      </w:r>
    </w:p>
    <w:p w:rsidR="0021712B" w:rsidRDefault="0021712B" w:rsidP="009A1C93">
      <w:pPr>
        <w:tabs>
          <w:tab w:val="left" w:pos="709"/>
          <w:tab w:val="right" w:leader="dot" w:pos="9072"/>
        </w:tabs>
        <w:spacing w:before="20" w:after="40" w:line="240" w:lineRule="exact"/>
        <w:jc w:val="both"/>
        <w:rPr>
          <w:rFonts w:ascii="Arial" w:hAnsi="Arial" w:cs="Arial"/>
          <w:spacing w:val="-2"/>
        </w:rPr>
      </w:pPr>
    </w:p>
    <w:p w:rsidR="006D7EBE" w:rsidRPr="0021712B" w:rsidRDefault="009A1C93" w:rsidP="0021712B">
      <w:pPr>
        <w:pStyle w:val="Akapitzlist"/>
        <w:numPr>
          <w:ilvl w:val="0"/>
          <w:numId w:val="5"/>
        </w:numPr>
        <w:tabs>
          <w:tab w:val="left" w:pos="709"/>
          <w:tab w:val="right" w:leader="dot" w:pos="9072"/>
        </w:tabs>
        <w:spacing w:before="20" w:after="40" w:line="240" w:lineRule="exact"/>
        <w:jc w:val="both"/>
        <w:rPr>
          <w:rFonts w:ascii="Arial" w:hAnsi="Arial" w:cs="Arial"/>
          <w:b/>
          <w:spacing w:val="-2"/>
          <w:u w:val="single"/>
        </w:rPr>
      </w:pPr>
      <w:r w:rsidRPr="0021712B">
        <w:rPr>
          <w:rFonts w:ascii="Arial" w:hAnsi="Arial" w:cs="Arial"/>
          <w:b/>
          <w:spacing w:val="-2"/>
          <w:u w:val="single"/>
        </w:rPr>
        <w:t>MATERIAŁY DO WYKONANIA HYDROFOBIZACJI.</w:t>
      </w:r>
    </w:p>
    <w:p w:rsidR="006D7EBE" w:rsidRDefault="009A1C93" w:rsidP="006D7EBE">
      <w:pPr>
        <w:pStyle w:val="CM26"/>
        <w:ind w:left="570" w:hanging="570"/>
        <w:jc w:val="both"/>
        <w:rPr>
          <w:bCs/>
          <w:sz w:val="20"/>
          <w:szCs w:val="20"/>
          <w:lang w:eastAsia="en-US"/>
        </w:rPr>
      </w:pPr>
      <w:r>
        <w:rPr>
          <w:bCs/>
          <w:color w:val="000000"/>
          <w:sz w:val="20"/>
          <w:szCs w:val="20"/>
        </w:rPr>
        <w:t>B</w:t>
      </w:r>
      <w:r w:rsidR="006D7EBE" w:rsidRPr="007619A2">
        <w:rPr>
          <w:bCs/>
          <w:sz w:val="20"/>
          <w:szCs w:val="20"/>
          <w:lang w:eastAsia="en-US"/>
        </w:rPr>
        <w:t>ezrozpuszczalnikowy preparat do hydrofobizacji</w:t>
      </w:r>
      <w:r>
        <w:rPr>
          <w:bCs/>
          <w:sz w:val="20"/>
          <w:szCs w:val="20"/>
          <w:lang w:eastAsia="en-US"/>
        </w:rPr>
        <w:t>.</w:t>
      </w:r>
    </w:p>
    <w:p w:rsidR="0021712B" w:rsidRPr="0021712B" w:rsidRDefault="0021712B" w:rsidP="0021712B">
      <w:pPr>
        <w:pStyle w:val="Default"/>
        <w:rPr>
          <w:lang w:eastAsia="en-US"/>
        </w:rPr>
      </w:pPr>
    </w:p>
    <w:p w:rsidR="006D7EBE" w:rsidRPr="007A4F6C" w:rsidRDefault="006D7EBE" w:rsidP="007A4F6C">
      <w:pPr>
        <w:pStyle w:val="Style7"/>
        <w:widowControl/>
        <w:numPr>
          <w:ilvl w:val="0"/>
          <w:numId w:val="3"/>
        </w:numPr>
        <w:jc w:val="both"/>
        <w:rPr>
          <w:rStyle w:val="FontStyle21"/>
          <w:sz w:val="20"/>
          <w:szCs w:val="20"/>
        </w:rPr>
      </w:pPr>
      <w:r w:rsidRPr="007A4F6C">
        <w:rPr>
          <w:rStyle w:val="FontStyle21"/>
          <w:sz w:val="20"/>
          <w:szCs w:val="20"/>
        </w:rPr>
        <w:t>Właściwości:</w:t>
      </w:r>
    </w:p>
    <w:p w:rsidR="006D7EBE" w:rsidRPr="007619A2" w:rsidRDefault="006D7EBE" w:rsidP="006D7EBE">
      <w:pPr>
        <w:pStyle w:val="Style8"/>
        <w:widowControl/>
        <w:numPr>
          <w:ilvl w:val="0"/>
          <w:numId w:val="1"/>
        </w:numPr>
        <w:tabs>
          <w:tab w:val="left" w:pos="0"/>
        </w:tabs>
        <w:spacing w:line="235" w:lineRule="exact"/>
        <w:ind w:firstLine="426"/>
        <w:rPr>
          <w:rStyle w:val="FontStyle22"/>
          <w:sz w:val="20"/>
          <w:szCs w:val="20"/>
        </w:rPr>
      </w:pPr>
      <w:r w:rsidRPr="007619A2">
        <w:rPr>
          <w:rStyle w:val="FontStyle22"/>
          <w:sz w:val="20"/>
          <w:szCs w:val="20"/>
        </w:rPr>
        <w:t>silne działanie hydrofobizujące</w:t>
      </w:r>
    </w:p>
    <w:p w:rsidR="006D7EBE" w:rsidRPr="007619A2" w:rsidRDefault="006D7EBE" w:rsidP="006D7EBE">
      <w:pPr>
        <w:pStyle w:val="Style8"/>
        <w:widowControl/>
        <w:numPr>
          <w:ilvl w:val="0"/>
          <w:numId w:val="1"/>
        </w:numPr>
        <w:tabs>
          <w:tab w:val="left" w:pos="0"/>
        </w:tabs>
        <w:spacing w:line="235" w:lineRule="exact"/>
        <w:ind w:firstLine="426"/>
        <w:rPr>
          <w:rStyle w:val="FontStyle22"/>
          <w:sz w:val="20"/>
          <w:szCs w:val="20"/>
        </w:rPr>
      </w:pPr>
      <w:r w:rsidRPr="007619A2">
        <w:rPr>
          <w:rStyle w:val="FontStyle22"/>
          <w:sz w:val="20"/>
          <w:szCs w:val="20"/>
        </w:rPr>
        <w:t>bardzo dobre zdolności do penetracji w przegrodę</w:t>
      </w:r>
    </w:p>
    <w:p w:rsidR="006D7EBE" w:rsidRPr="007619A2" w:rsidRDefault="006D7EBE" w:rsidP="006D7EBE">
      <w:pPr>
        <w:pStyle w:val="Default"/>
        <w:rPr>
          <w:sz w:val="20"/>
          <w:szCs w:val="20"/>
        </w:rPr>
      </w:pPr>
    </w:p>
    <w:p w:rsidR="006D7EBE" w:rsidRPr="007619A2" w:rsidRDefault="006D7EBE" w:rsidP="006D7EBE">
      <w:pPr>
        <w:autoSpaceDE w:val="0"/>
        <w:autoSpaceDN w:val="0"/>
        <w:adjustRightInd w:val="0"/>
        <w:rPr>
          <w:rFonts w:ascii="Arial" w:hAnsi="Arial" w:cs="Arial"/>
          <w:i/>
        </w:rPr>
      </w:pPr>
      <w:r w:rsidRPr="007619A2">
        <w:rPr>
          <w:rFonts w:ascii="Arial" w:hAnsi="Arial" w:cs="Arial"/>
          <w:i/>
        </w:rPr>
        <w:t>Parametry techniczne:</w:t>
      </w:r>
    </w:p>
    <w:p w:rsidR="006D7EBE" w:rsidRPr="007619A2" w:rsidRDefault="006D7EBE" w:rsidP="006D7EBE">
      <w:pPr>
        <w:shd w:val="clear" w:color="auto" w:fill="FFFFFF"/>
        <w:rPr>
          <w:rFonts w:ascii="Arial" w:hAnsi="Arial" w:cs="Arial"/>
          <w:bCs/>
          <w:color w:val="000000"/>
        </w:rPr>
      </w:pPr>
      <w:r w:rsidRPr="007619A2">
        <w:rPr>
          <w:rFonts w:ascii="Arial" w:hAnsi="Arial" w:cs="Arial"/>
          <w:bCs/>
          <w:color w:val="000000"/>
        </w:rPr>
        <w:t>Baza</w:t>
      </w:r>
      <w:r w:rsidRPr="007619A2">
        <w:rPr>
          <w:rFonts w:ascii="Arial" w:hAnsi="Arial" w:cs="Arial"/>
          <w:bCs/>
          <w:color w:val="000000"/>
        </w:rPr>
        <w:tab/>
      </w:r>
      <w:r w:rsidRPr="007619A2">
        <w:rPr>
          <w:rFonts w:ascii="Arial" w:hAnsi="Arial" w:cs="Arial"/>
          <w:bCs/>
          <w:color w:val="000000"/>
        </w:rPr>
        <w:tab/>
      </w:r>
      <w:r w:rsidRPr="007619A2">
        <w:rPr>
          <w:rFonts w:ascii="Arial" w:hAnsi="Arial" w:cs="Arial"/>
          <w:bCs/>
          <w:color w:val="000000"/>
        </w:rPr>
        <w:tab/>
      </w:r>
      <w:r w:rsidRPr="007619A2">
        <w:rPr>
          <w:rFonts w:ascii="Arial" w:hAnsi="Arial" w:cs="Arial"/>
          <w:bCs/>
          <w:color w:val="000000"/>
        </w:rPr>
        <w:tab/>
        <w:t>- siloksany</w:t>
      </w:r>
    </w:p>
    <w:p w:rsidR="006D7EBE" w:rsidRPr="007619A2" w:rsidRDefault="006D7EBE" w:rsidP="006D7EBE">
      <w:pPr>
        <w:shd w:val="clear" w:color="auto" w:fill="FFFFFF"/>
        <w:rPr>
          <w:rFonts w:ascii="Arial" w:hAnsi="Arial" w:cs="Arial"/>
          <w:bCs/>
          <w:color w:val="000000"/>
        </w:rPr>
      </w:pPr>
      <w:r w:rsidRPr="007619A2">
        <w:rPr>
          <w:rFonts w:ascii="Arial" w:hAnsi="Arial" w:cs="Arial"/>
          <w:bCs/>
          <w:color w:val="000000"/>
        </w:rPr>
        <w:lastRenderedPageBreak/>
        <w:t>Rozpuszczalnik</w:t>
      </w:r>
      <w:r w:rsidRPr="007619A2">
        <w:rPr>
          <w:rFonts w:ascii="Arial" w:hAnsi="Arial" w:cs="Arial"/>
          <w:bCs/>
          <w:color w:val="000000"/>
        </w:rPr>
        <w:tab/>
      </w:r>
      <w:r w:rsidRPr="007619A2">
        <w:rPr>
          <w:rFonts w:ascii="Arial" w:hAnsi="Arial" w:cs="Arial"/>
          <w:bCs/>
          <w:color w:val="000000"/>
        </w:rPr>
        <w:tab/>
      </w:r>
      <w:r w:rsidRPr="007619A2">
        <w:rPr>
          <w:rFonts w:ascii="Arial" w:hAnsi="Arial" w:cs="Arial"/>
          <w:bCs/>
          <w:color w:val="000000"/>
        </w:rPr>
        <w:tab/>
        <w:t>- brak</w:t>
      </w:r>
    </w:p>
    <w:p w:rsidR="006D7EBE" w:rsidRPr="007619A2" w:rsidRDefault="006D7EBE" w:rsidP="006D7EBE">
      <w:pPr>
        <w:shd w:val="clear" w:color="auto" w:fill="FFFFFF"/>
        <w:rPr>
          <w:rFonts w:ascii="Arial" w:hAnsi="Arial" w:cs="Arial"/>
        </w:rPr>
      </w:pPr>
      <w:r w:rsidRPr="007619A2">
        <w:rPr>
          <w:rFonts w:ascii="Arial" w:hAnsi="Arial" w:cs="Arial"/>
        </w:rPr>
        <w:t>Kolor</w:t>
      </w:r>
      <w:r w:rsidRPr="007619A2">
        <w:rPr>
          <w:rFonts w:ascii="Arial" w:hAnsi="Arial" w:cs="Arial"/>
        </w:rPr>
        <w:tab/>
      </w:r>
      <w:r w:rsidRPr="007619A2">
        <w:rPr>
          <w:rFonts w:ascii="Arial" w:hAnsi="Arial" w:cs="Arial"/>
        </w:rPr>
        <w:tab/>
      </w:r>
      <w:r w:rsidRPr="007619A2">
        <w:rPr>
          <w:rFonts w:ascii="Arial" w:hAnsi="Arial" w:cs="Arial"/>
        </w:rPr>
        <w:tab/>
      </w:r>
      <w:r w:rsidRPr="007619A2">
        <w:rPr>
          <w:rFonts w:ascii="Arial" w:hAnsi="Arial" w:cs="Arial"/>
        </w:rPr>
        <w:tab/>
        <w:t>- biały</w:t>
      </w:r>
    </w:p>
    <w:p w:rsidR="006D7EBE" w:rsidRPr="007619A2" w:rsidRDefault="006D7EBE" w:rsidP="006D7EBE">
      <w:pPr>
        <w:shd w:val="clear" w:color="auto" w:fill="FFFFFF"/>
        <w:rPr>
          <w:rFonts w:ascii="Arial" w:hAnsi="Arial" w:cs="Arial"/>
        </w:rPr>
      </w:pPr>
      <w:r w:rsidRPr="007619A2">
        <w:rPr>
          <w:rFonts w:ascii="Arial" w:hAnsi="Arial" w:cs="Arial"/>
        </w:rPr>
        <w:t>Postać (konsystencja)</w:t>
      </w:r>
      <w:r w:rsidRPr="007619A2">
        <w:rPr>
          <w:rFonts w:ascii="Arial" w:hAnsi="Arial" w:cs="Arial"/>
        </w:rPr>
        <w:tab/>
        <w:t xml:space="preserve">             - ciecz</w:t>
      </w:r>
    </w:p>
    <w:p w:rsidR="006D7EBE" w:rsidRPr="007619A2" w:rsidRDefault="006D7EBE" w:rsidP="006D7EBE">
      <w:pPr>
        <w:shd w:val="clear" w:color="auto" w:fill="FFFFFF"/>
        <w:rPr>
          <w:rFonts w:ascii="Arial" w:hAnsi="Arial" w:cs="Arial"/>
        </w:rPr>
      </w:pPr>
      <w:r w:rsidRPr="007619A2">
        <w:rPr>
          <w:rFonts w:ascii="Arial" w:hAnsi="Arial" w:cs="Arial"/>
        </w:rPr>
        <w:t>Gęstość</w:t>
      </w:r>
      <w:r w:rsidRPr="007619A2">
        <w:rPr>
          <w:rFonts w:ascii="Arial" w:hAnsi="Arial" w:cs="Arial"/>
        </w:rPr>
        <w:tab/>
      </w:r>
      <w:r w:rsidRPr="007619A2">
        <w:rPr>
          <w:rFonts w:ascii="Arial" w:hAnsi="Arial" w:cs="Arial"/>
        </w:rPr>
        <w:tab/>
      </w:r>
      <w:r w:rsidRPr="007619A2">
        <w:rPr>
          <w:rFonts w:ascii="Arial" w:hAnsi="Arial" w:cs="Arial"/>
        </w:rPr>
        <w:tab/>
        <w:t xml:space="preserve">- </w:t>
      </w:r>
      <w:r w:rsidRPr="007619A2">
        <w:rPr>
          <w:rFonts w:ascii="Arial" w:hAnsi="Arial" w:cs="Arial"/>
          <w:bCs/>
          <w:color w:val="000000"/>
        </w:rPr>
        <w:t>ok. 0,96 kg/dm</w:t>
      </w:r>
      <w:r w:rsidRPr="007619A2">
        <w:rPr>
          <w:rFonts w:ascii="Arial" w:hAnsi="Arial" w:cs="Arial"/>
          <w:bCs/>
          <w:color w:val="000000"/>
          <w:vertAlign w:val="superscript"/>
        </w:rPr>
        <w:t>3</w:t>
      </w:r>
    </w:p>
    <w:p w:rsidR="006D7EBE" w:rsidRPr="007619A2" w:rsidRDefault="006D7EBE" w:rsidP="006D7EBE">
      <w:pPr>
        <w:shd w:val="clear" w:color="auto" w:fill="FFFFFF"/>
        <w:rPr>
          <w:rFonts w:ascii="Arial" w:hAnsi="Arial" w:cs="Arial"/>
        </w:rPr>
      </w:pPr>
      <w:r w:rsidRPr="007619A2">
        <w:rPr>
          <w:rFonts w:ascii="Arial" w:hAnsi="Arial" w:cs="Arial"/>
        </w:rPr>
        <w:t>Rozcieńczanie wodą</w:t>
      </w:r>
      <w:r w:rsidRPr="007619A2">
        <w:rPr>
          <w:rFonts w:ascii="Arial" w:hAnsi="Arial" w:cs="Arial"/>
        </w:rPr>
        <w:tab/>
        <w:t xml:space="preserve">             - ok 1:20</w:t>
      </w:r>
    </w:p>
    <w:p w:rsidR="006D7EBE" w:rsidRPr="007619A2" w:rsidRDefault="006D7EBE" w:rsidP="006D7EBE">
      <w:pPr>
        <w:shd w:val="clear" w:color="auto" w:fill="FFFFFF"/>
        <w:rPr>
          <w:rFonts w:ascii="Arial" w:hAnsi="Arial" w:cs="Arial"/>
        </w:rPr>
      </w:pPr>
      <w:r w:rsidRPr="007619A2">
        <w:rPr>
          <w:rFonts w:ascii="Arial" w:hAnsi="Arial" w:cs="Arial"/>
        </w:rPr>
        <w:t>Czas zużycia po rozcieńczeniu wodą</w:t>
      </w:r>
    </w:p>
    <w:p w:rsidR="006D7EBE" w:rsidRPr="007619A2" w:rsidRDefault="006D7EBE" w:rsidP="006D7EBE">
      <w:pPr>
        <w:shd w:val="clear" w:color="auto" w:fill="FFFFFF"/>
        <w:ind w:left="2160"/>
        <w:rPr>
          <w:rFonts w:ascii="Arial" w:hAnsi="Arial" w:cs="Arial"/>
        </w:rPr>
      </w:pPr>
      <w:r w:rsidRPr="007619A2">
        <w:rPr>
          <w:rFonts w:ascii="Arial" w:hAnsi="Arial" w:cs="Arial"/>
        </w:rPr>
        <w:t xml:space="preserve">        – do 24 godzin, w</w:t>
      </w:r>
      <w:r w:rsidRPr="007619A2">
        <w:rPr>
          <w:rStyle w:val="FontStyle22"/>
        </w:rPr>
        <w:t xml:space="preserve"> temp. + </w:t>
      </w:r>
      <w:smartTag w:uri="urn:schemas-microsoft-com:office:smarttags" w:element="metricconverter">
        <w:smartTagPr>
          <w:attr w:name="ProductID" w:val="20 °C"/>
        </w:smartTagPr>
        <w:r w:rsidRPr="007619A2">
          <w:rPr>
            <w:rStyle w:val="FontStyle22"/>
          </w:rPr>
          <w:t>20 °C</w:t>
        </w:r>
      </w:smartTag>
      <w:r w:rsidRPr="007619A2">
        <w:rPr>
          <w:rStyle w:val="FontStyle22"/>
        </w:rPr>
        <w:t xml:space="preserve"> i przy względnej wilgotności powietrza 65%</w:t>
      </w:r>
    </w:p>
    <w:p w:rsidR="006D7EBE" w:rsidRPr="007619A2" w:rsidRDefault="006D7EBE" w:rsidP="006D7EBE">
      <w:pPr>
        <w:shd w:val="clear" w:color="auto" w:fill="FFFFFF"/>
        <w:ind w:left="2880" w:hanging="2880"/>
        <w:rPr>
          <w:rFonts w:ascii="Arial" w:hAnsi="Arial" w:cs="Arial"/>
          <w:bCs/>
          <w:color w:val="000000"/>
        </w:rPr>
      </w:pPr>
      <w:r w:rsidRPr="007619A2">
        <w:rPr>
          <w:rFonts w:ascii="Arial" w:hAnsi="Arial" w:cs="Arial"/>
        </w:rPr>
        <w:t>Zużycie</w:t>
      </w:r>
      <w:r w:rsidRPr="007619A2">
        <w:rPr>
          <w:rFonts w:ascii="Arial" w:hAnsi="Arial" w:cs="Arial"/>
        </w:rPr>
        <w:tab/>
        <w:t>- zależy od rodzaju podłoża, przeciętnie 0,2-0,5 dm</w:t>
      </w:r>
      <w:r w:rsidRPr="007619A2">
        <w:rPr>
          <w:rFonts w:ascii="Arial" w:hAnsi="Arial" w:cs="Arial"/>
          <w:vertAlign w:val="superscript"/>
        </w:rPr>
        <w:t>3</w:t>
      </w:r>
      <w:r w:rsidRPr="007619A2">
        <w:rPr>
          <w:rFonts w:ascii="Arial" w:hAnsi="Arial" w:cs="Arial"/>
        </w:rPr>
        <w:t xml:space="preserve"> mieszaniny na 1m</w:t>
      </w:r>
      <w:r w:rsidRPr="007619A2">
        <w:rPr>
          <w:rFonts w:ascii="Arial" w:hAnsi="Arial" w:cs="Arial"/>
          <w:vertAlign w:val="superscript"/>
        </w:rPr>
        <w:t>2</w:t>
      </w:r>
      <w:r w:rsidRPr="007619A2">
        <w:rPr>
          <w:rFonts w:ascii="Arial" w:hAnsi="Arial" w:cs="Arial"/>
        </w:rPr>
        <w:t xml:space="preserve"> </w:t>
      </w:r>
    </w:p>
    <w:p w:rsidR="006D7EBE" w:rsidRPr="007619A2" w:rsidRDefault="006D7EBE" w:rsidP="006D7EBE">
      <w:pPr>
        <w:shd w:val="clear" w:color="auto" w:fill="FFFFFF"/>
        <w:ind w:left="2880" w:hanging="2880"/>
        <w:rPr>
          <w:rFonts w:ascii="Arial" w:hAnsi="Arial" w:cs="Arial"/>
          <w:bCs/>
          <w:color w:val="000000"/>
        </w:rPr>
      </w:pPr>
      <w:r w:rsidRPr="007619A2">
        <w:rPr>
          <w:rFonts w:ascii="Arial" w:hAnsi="Arial" w:cs="Arial"/>
          <w:bCs/>
          <w:color w:val="000000"/>
        </w:rPr>
        <w:t>Temperatura aplikacji (powietrza i podłoża)</w:t>
      </w:r>
    </w:p>
    <w:p w:rsidR="006D7EBE" w:rsidRPr="007619A2" w:rsidRDefault="006D7EBE" w:rsidP="006D7EBE">
      <w:pPr>
        <w:shd w:val="clear" w:color="auto" w:fill="FFFFFF"/>
        <w:rPr>
          <w:rFonts w:ascii="Arial" w:hAnsi="Arial" w:cs="Arial"/>
        </w:rPr>
      </w:pPr>
      <w:r w:rsidRPr="007619A2">
        <w:rPr>
          <w:rFonts w:ascii="Arial" w:hAnsi="Arial" w:cs="Arial"/>
          <w:bCs/>
          <w:color w:val="000000"/>
        </w:rPr>
        <w:tab/>
      </w:r>
      <w:r w:rsidRPr="007619A2">
        <w:rPr>
          <w:rFonts w:ascii="Arial" w:hAnsi="Arial" w:cs="Arial"/>
          <w:bCs/>
          <w:color w:val="000000"/>
        </w:rPr>
        <w:tab/>
      </w:r>
      <w:r w:rsidRPr="007619A2">
        <w:rPr>
          <w:rFonts w:ascii="Arial" w:hAnsi="Arial" w:cs="Arial"/>
          <w:bCs/>
          <w:color w:val="000000"/>
        </w:rPr>
        <w:tab/>
      </w:r>
      <w:r w:rsidRPr="007619A2">
        <w:rPr>
          <w:rFonts w:ascii="Arial" w:hAnsi="Arial" w:cs="Arial"/>
          <w:bCs/>
          <w:color w:val="000000"/>
        </w:rPr>
        <w:tab/>
        <w:t xml:space="preserve">- </w:t>
      </w:r>
      <w:r w:rsidRPr="007619A2">
        <w:rPr>
          <w:rFonts w:ascii="Arial" w:hAnsi="Arial" w:cs="Arial"/>
        </w:rPr>
        <w:t>min. +</w:t>
      </w:r>
      <w:smartTag w:uri="urn:schemas-microsoft-com:office:smarttags" w:element="metricconverter">
        <w:smartTagPr>
          <w:attr w:name="ProductID" w:val="50C"/>
        </w:smartTagPr>
        <w:r w:rsidRPr="007619A2">
          <w:rPr>
            <w:rFonts w:ascii="Arial" w:hAnsi="Arial" w:cs="Arial"/>
          </w:rPr>
          <w:t>5</w:t>
        </w:r>
        <w:r w:rsidRPr="007619A2">
          <w:rPr>
            <w:rFonts w:ascii="Arial" w:hAnsi="Arial" w:cs="Arial"/>
            <w:vertAlign w:val="superscript"/>
          </w:rPr>
          <w:t>0</w:t>
        </w:r>
        <w:r w:rsidRPr="007619A2">
          <w:rPr>
            <w:rFonts w:ascii="Arial" w:hAnsi="Arial" w:cs="Arial"/>
          </w:rPr>
          <w:t>C</w:t>
        </w:r>
      </w:smartTag>
      <w:r w:rsidRPr="007619A2">
        <w:rPr>
          <w:rFonts w:ascii="Arial" w:hAnsi="Arial" w:cs="Arial"/>
        </w:rPr>
        <w:t>, maksymalna +</w:t>
      </w:r>
      <w:smartTag w:uri="urn:schemas-microsoft-com:office:smarttags" w:element="metricconverter">
        <w:smartTagPr>
          <w:attr w:name="ProductID" w:val="300C"/>
        </w:smartTagPr>
        <w:r w:rsidRPr="007619A2">
          <w:rPr>
            <w:rFonts w:ascii="Arial" w:hAnsi="Arial" w:cs="Arial"/>
          </w:rPr>
          <w:t>30</w:t>
        </w:r>
        <w:r w:rsidRPr="007619A2">
          <w:rPr>
            <w:rFonts w:ascii="Arial" w:hAnsi="Arial" w:cs="Arial"/>
            <w:vertAlign w:val="superscript"/>
          </w:rPr>
          <w:t>0</w:t>
        </w:r>
        <w:r w:rsidRPr="007619A2">
          <w:rPr>
            <w:rFonts w:ascii="Arial" w:hAnsi="Arial" w:cs="Arial"/>
          </w:rPr>
          <w:t>C</w:t>
        </w:r>
      </w:smartTag>
    </w:p>
    <w:p w:rsidR="006D7EBE" w:rsidRPr="007619A2" w:rsidRDefault="006D7EBE" w:rsidP="006D7EBE">
      <w:pPr>
        <w:spacing w:before="20" w:after="40" w:line="240" w:lineRule="exact"/>
        <w:ind w:left="709" w:hanging="709"/>
        <w:jc w:val="both"/>
        <w:rPr>
          <w:rFonts w:ascii="Arial" w:hAnsi="Arial" w:cs="Arial"/>
        </w:rPr>
      </w:pPr>
    </w:p>
    <w:p w:rsidR="006D7EBE" w:rsidRPr="007A4F6C" w:rsidRDefault="006D7EBE" w:rsidP="007A4F6C">
      <w:pPr>
        <w:pStyle w:val="Akapitzlist"/>
        <w:numPr>
          <w:ilvl w:val="0"/>
          <w:numId w:val="3"/>
        </w:numPr>
        <w:autoSpaceDE w:val="0"/>
        <w:autoSpaceDN w:val="0"/>
        <w:adjustRightInd w:val="0"/>
        <w:rPr>
          <w:rFonts w:ascii="Arial" w:hAnsi="Arial" w:cs="Arial"/>
          <w:b/>
        </w:rPr>
      </w:pPr>
      <w:r w:rsidRPr="007A4F6C">
        <w:rPr>
          <w:rFonts w:ascii="Arial" w:hAnsi="Arial" w:cs="Arial"/>
          <w:b/>
        </w:rPr>
        <w:t>Woda</w:t>
      </w:r>
    </w:p>
    <w:p w:rsidR="006D7EBE" w:rsidRDefault="006D7EBE" w:rsidP="007A4F6C">
      <w:pPr>
        <w:tabs>
          <w:tab w:val="left" w:pos="709"/>
          <w:tab w:val="right" w:leader="dot" w:pos="9072"/>
        </w:tabs>
        <w:spacing w:before="40" w:after="40" w:line="240" w:lineRule="exact"/>
        <w:jc w:val="both"/>
        <w:rPr>
          <w:rFonts w:ascii="Arial" w:hAnsi="Arial" w:cs="Arial"/>
        </w:rPr>
      </w:pPr>
      <w:r w:rsidRPr="007619A2">
        <w:rPr>
          <w:rFonts w:ascii="Arial" w:hAnsi="Arial" w:cs="Arial"/>
        </w:rPr>
        <w:t>Do prac związanych z przygotowaniem podłoża stosować można wodę wodociągową, w przeciwnym wypadku woda musi spełniać wymagania normy PN-EN 1008:2004 Woda zarobowa do betonu. Specyfikacja pobierania próbek, badanie i ocena przydatności wody zarobowej do betonu, w tym wody odzyskanej z procesów produkcji betonu.</w:t>
      </w:r>
    </w:p>
    <w:p w:rsidR="0021712B" w:rsidRDefault="0021712B" w:rsidP="007A4F6C">
      <w:pPr>
        <w:tabs>
          <w:tab w:val="left" w:pos="709"/>
          <w:tab w:val="right" w:leader="dot" w:pos="9072"/>
        </w:tabs>
        <w:spacing w:before="40" w:after="40" w:line="240" w:lineRule="exact"/>
        <w:jc w:val="both"/>
        <w:rPr>
          <w:rFonts w:ascii="Arial" w:hAnsi="Arial" w:cs="Arial"/>
        </w:rPr>
      </w:pPr>
    </w:p>
    <w:p w:rsidR="0021712B" w:rsidRPr="0021712B" w:rsidRDefault="0021712B" w:rsidP="0021712B">
      <w:pPr>
        <w:pStyle w:val="CM26"/>
        <w:numPr>
          <w:ilvl w:val="0"/>
          <w:numId w:val="3"/>
        </w:numPr>
        <w:spacing w:line="271" w:lineRule="atLeast"/>
        <w:rPr>
          <w:b/>
          <w:bCs/>
          <w:sz w:val="20"/>
          <w:szCs w:val="20"/>
          <w:u w:val="single"/>
        </w:rPr>
      </w:pPr>
      <w:r w:rsidRPr="0021712B">
        <w:rPr>
          <w:b/>
          <w:bCs/>
          <w:sz w:val="20"/>
          <w:szCs w:val="20"/>
          <w:u w:val="single"/>
        </w:rPr>
        <w:t>SPRZĘT</w:t>
      </w:r>
    </w:p>
    <w:p w:rsidR="0021712B" w:rsidRPr="00BF5E1B" w:rsidRDefault="0021712B" w:rsidP="0021712B">
      <w:pPr>
        <w:jc w:val="both"/>
        <w:rPr>
          <w:rFonts w:ascii="Arial" w:hAnsi="Arial" w:cs="Arial"/>
        </w:rPr>
      </w:pPr>
      <w:r w:rsidRPr="00BF5E1B">
        <w:rPr>
          <w:rFonts w:ascii="Arial" w:hAnsi="Arial" w:cs="Arial"/>
        </w:rPr>
        <w:t>Roboty można wykonać przy użyciu dowolnego sprzętu zaakceptowanego przez Inspektora nadzoru inwestorskiego.</w:t>
      </w:r>
    </w:p>
    <w:p w:rsidR="0021712B" w:rsidRPr="0021712B" w:rsidRDefault="0021712B" w:rsidP="0021712B">
      <w:pPr>
        <w:jc w:val="both"/>
        <w:rPr>
          <w:rFonts w:ascii="Arial" w:hAnsi="Arial" w:cs="Arial"/>
          <w:b/>
        </w:rPr>
      </w:pPr>
    </w:p>
    <w:p w:rsidR="0021712B" w:rsidRPr="0021712B" w:rsidRDefault="0021712B" w:rsidP="0021712B">
      <w:pPr>
        <w:pStyle w:val="Akapitzlist"/>
        <w:numPr>
          <w:ilvl w:val="0"/>
          <w:numId w:val="3"/>
        </w:numPr>
        <w:spacing w:line="360" w:lineRule="auto"/>
        <w:jc w:val="both"/>
        <w:rPr>
          <w:rFonts w:ascii="Arial" w:hAnsi="Arial" w:cs="Arial"/>
          <w:b/>
          <w:u w:val="single"/>
        </w:rPr>
      </w:pPr>
      <w:r w:rsidRPr="0021712B">
        <w:rPr>
          <w:rFonts w:ascii="Arial" w:hAnsi="Arial" w:cs="Arial"/>
          <w:b/>
          <w:u w:val="single"/>
        </w:rPr>
        <w:t>TRANSPORT I MAGAZYNOWANIE</w:t>
      </w:r>
    </w:p>
    <w:p w:rsidR="0021712B" w:rsidRPr="00BF5E1B" w:rsidRDefault="0021712B" w:rsidP="0021712B">
      <w:pPr>
        <w:jc w:val="both"/>
        <w:rPr>
          <w:rFonts w:ascii="Arial" w:hAnsi="Arial" w:cs="Arial"/>
        </w:rPr>
      </w:pPr>
      <w:r w:rsidRPr="00BF5E1B">
        <w:rPr>
          <w:rFonts w:ascii="Arial" w:hAnsi="Arial" w:cs="Arial"/>
        </w:rPr>
        <w:t xml:space="preserve">Ogólne wymagania dotyczące Transportu podano w „Wymagania ogólne”. Transport preparatów grzybobójczych powinien odbywać się transportem samochodowym umożliwiającym szybki rozładunek. </w:t>
      </w:r>
    </w:p>
    <w:p w:rsidR="0021712B" w:rsidRDefault="0021712B" w:rsidP="007A4F6C">
      <w:pPr>
        <w:tabs>
          <w:tab w:val="left" w:pos="709"/>
          <w:tab w:val="right" w:leader="dot" w:pos="9072"/>
        </w:tabs>
        <w:spacing w:before="40" w:after="40" w:line="240" w:lineRule="exact"/>
        <w:jc w:val="both"/>
        <w:rPr>
          <w:rFonts w:ascii="Arial" w:hAnsi="Arial" w:cs="Arial"/>
        </w:rPr>
      </w:pPr>
    </w:p>
    <w:p w:rsidR="0021712B" w:rsidRDefault="0021712B" w:rsidP="0021712B">
      <w:pPr>
        <w:pStyle w:val="CM26"/>
        <w:numPr>
          <w:ilvl w:val="0"/>
          <w:numId w:val="3"/>
        </w:numPr>
        <w:spacing w:line="273" w:lineRule="atLeast"/>
        <w:jc w:val="both"/>
        <w:rPr>
          <w:b/>
          <w:bCs/>
          <w:sz w:val="20"/>
          <w:szCs w:val="20"/>
          <w:u w:val="single"/>
        </w:rPr>
      </w:pPr>
      <w:r w:rsidRPr="00BF5E1B">
        <w:rPr>
          <w:b/>
          <w:bCs/>
          <w:sz w:val="20"/>
          <w:szCs w:val="20"/>
          <w:u w:val="single"/>
        </w:rPr>
        <w:t xml:space="preserve">WYMAGANIA DOTYCZĄCE WYKONANIA ROBÓT </w:t>
      </w:r>
    </w:p>
    <w:p w:rsidR="00A251EC" w:rsidRPr="007A4F6C" w:rsidRDefault="00A251EC" w:rsidP="00A251EC">
      <w:pPr>
        <w:tabs>
          <w:tab w:val="left" w:pos="709"/>
          <w:tab w:val="right" w:leader="dot" w:pos="9072"/>
        </w:tabs>
        <w:spacing w:before="40" w:after="40" w:line="240" w:lineRule="exact"/>
        <w:jc w:val="both"/>
        <w:rPr>
          <w:rFonts w:ascii="Arial" w:hAnsi="Arial" w:cs="Arial"/>
        </w:rPr>
      </w:pPr>
    </w:p>
    <w:p w:rsidR="00A251EC" w:rsidRPr="0021712B" w:rsidRDefault="00A251EC" w:rsidP="00A251EC">
      <w:pPr>
        <w:pStyle w:val="Akapitzlist"/>
        <w:numPr>
          <w:ilvl w:val="0"/>
          <w:numId w:val="6"/>
        </w:numPr>
        <w:autoSpaceDE w:val="0"/>
        <w:autoSpaceDN w:val="0"/>
        <w:adjustRightInd w:val="0"/>
        <w:rPr>
          <w:rFonts w:ascii="Arial" w:hAnsi="Arial" w:cs="Arial"/>
          <w:b/>
        </w:rPr>
      </w:pPr>
      <w:r w:rsidRPr="0021712B">
        <w:rPr>
          <w:rFonts w:ascii="Arial" w:hAnsi="Arial" w:cs="Arial"/>
          <w:b/>
        </w:rPr>
        <w:t>Przechowywanie materiałów</w:t>
      </w:r>
    </w:p>
    <w:p w:rsidR="00A251EC" w:rsidRPr="0021712B" w:rsidRDefault="00A251EC" w:rsidP="00A251EC">
      <w:pPr>
        <w:autoSpaceDE w:val="0"/>
        <w:autoSpaceDN w:val="0"/>
        <w:adjustRightInd w:val="0"/>
        <w:jc w:val="both"/>
        <w:rPr>
          <w:rFonts w:ascii="Arial" w:hAnsi="Arial" w:cs="Arial"/>
        </w:rPr>
      </w:pPr>
      <w:r w:rsidRPr="0021712B">
        <w:rPr>
          <w:rFonts w:ascii="Arial" w:hAnsi="Arial" w:cs="Arial"/>
        </w:rPr>
        <w:t xml:space="preserve">Pojemniki z preparatami do wykonywania hydrofobizacji przechowywać w oryginalnie zamkniętych opakowaniach, w suchym i chłodnym miejscu. Chronić przed mrozem oraz bezpośrednim oddziaływaniem promieni słonecznych. </w:t>
      </w:r>
    </w:p>
    <w:p w:rsidR="00A251EC" w:rsidRPr="0021712B" w:rsidRDefault="00A251EC" w:rsidP="00A251EC">
      <w:pPr>
        <w:autoSpaceDE w:val="0"/>
        <w:autoSpaceDN w:val="0"/>
        <w:adjustRightInd w:val="0"/>
        <w:jc w:val="both"/>
        <w:rPr>
          <w:rFonts w:ascii="Arial" w:hAnsi="Arial" w:cs="Arial"/>
        </w:rPr>
      </w:pPr>
    </w:p>
    <w:p w:rsidR="00A251EC" w:rsidRPr="0021712B" w:rsidRDefault="00A251EC" w:rsidP="00A251EC">
      <w:pPr>
        <w:pStyle w:val="Akapitzlist"/>
        <w:numPr>
          <w:ilvl w:val="0"/>
          <w:numId w:val="6"/>
        </w:numPr>
        <w:jc w:val="both"/>
        <w:rPr>
          <w:rFonts w:ascii="Arial" w:hAnsi="Arial" w:cs="Arial"/>
          <w:b/>
        </w:rPr>
      </w:pPr>
      <w:r w:rsidRPr="0021712B">
        <w:rPr>
          <w:rFonts w:ascii="Arial" w:hAnsi="Arial" w:cs="Arial"/>
          <w:b/>
        </w:rPr>
        <w:t>Warunki wykonywania prac hydrofobizacyjnych.</w:t>
      </w:r>
    </w:p>
    <w:p w:rsidR="00A251EC" w:rsidRPr="0021712B" w:rsidRDefault="00A251EC" w:rsidP="00A251EC">
      <w:pPr>
        <w:pStyle w:val="Tekstpodstawowy2"/>
        <w:tabs>
          <w:tab w:val="left" w:pos="284"/>
        </w:tabs>
        <w:spacing w:before="20" w:after="40" w:line="240" w:lineRule="exact"/>
        <w:jc w:val="both"/>
        <w:rPr>
          <w:rFonts w:ascii="Arial" w:hAnsi="Arial" w:cs="Arial"/>
        </w:rPr>
      </w:pPr>
      <w:r w:rsidRPr="0021712B">
        <w:rPr>
          <w:rFonts w:ascii="Arial" w:hAnsi="Arial" w:cs="Arial"/>
        </w:rPr>
        <w:t>Prace z zastosowaniem preparatów hydrofobizujacych należy wykonywać w temperaturze nie niższej niż+</w:t>
      </w:r>
      <w:smartTag w:uri="urn:schemas-microsoft-com:office:smarttags" w:element="metricconverter">
        <w:smartTagPr>
          <w:attr w:name="ProductID" w:val="5°C"/>
        </w:smartTagPr>
        <w:r w:rsidRPr="0021712B">
          <w:rPr>
            <w:rFonts w:ascii="Arial" w:hAnsi="Arial" w:cs="Arial"/>
          </w:rPr>
          <w:t>5°C</w:t>
        </w:r>
      </w:smartTag>
      <w:r w:rsidRPr="0021712B">
        <w:rPr>
          <w:rFonts w:ascii="Arial" w:hAnsi="Arial" w:cs="Arial"/>
        </w:rPr>
        <w:t>. Prace wykonywać z zachowaniem ogólnych zasad sztuki budowlanej, zwracając szczególną uwagę na opady atmosferyczne (mżawka, deszcz – nie wykonywać prac podczas opadów lub stosować namioty ochronne).</w:t>
      </w:r>
    </w:p>
    <w:p w:rsidR="00A251EC" w:rsidRPr="0021712B" w:rsidRDefault="00A251EC" w:rsidP="00A251EC">
      <w:pPr>
        <w:pStyle w:val="Tekstpodstawowy2"/>
        <w:tabs>
          <w:tab w:val="left" w:pos="284"/>
        </w:tabs>
        <w:spacing w:before="20" w:after="40" w:line="240" w:lineRule="exact"/>
        <w:jc w:val="both"/>
        <w:rPr>
          <w:rFonts w:ascii="Arial" w:hAnsi="Arial" w:cs="Arial"/>
        </w:rPr>
      </w:pPr>
    </w:p>
    <w:p w:rsidR="00A251EC" w:rsidRPr="0021712B" w:rsidRDefault="00A251EC" w:rsidP="00A251EC">
      <w:pPr>
        <w:pStyle w:val="Akapitzlist"/>
        <w:numPr>
          <w:ilvl w:val="0"/>
          <w:numId w:val="6"/>
        </w:numPr>
        <w:jc w:val="both"/>
        <w:rPr>
          <w:rFonts w:ascii="Arial" w:hAnsi="Arial" w:cs="Arial"/>
          <w:b/>
        </w:rPr>
      </w:pPr>
      <w:r w:rsidRPr="0021712B">
        <w:rPr>
          <w:rFonts w:ascii="Arial" w:hAnsi="Arial" w:cs="Arial"/>
          <w:b/>
        </w:rPr>
        <w:t xml:space="preserve">Wymogi stawiane podłożu </w:t>
      </w:r>
    </w:p>
    <w:p w:rsidR="00A251EC" w:rsidRPr="0021712B" w:rsidRDefault="00A251EC" w:rsidP="00A251EC">
      <w:pPr>
        <w:pStyle w:val="Tekstpodstawowy3"/>
        <w:jc w:val="both"/>
        <w:rPr>
          <w:rFonts w:ascii="Arial" w:hAnsi="Arial" w:cs="Arial"/>
          <w:sz w:val="20"/>
          <w:szCs w:val="20"/>
        </w:rPr>
      </w:pPr>
      <w:r w:rsidRPr="0021712B">
        <w:rPr>
          <w:rFonts w:ascii="Arial" w:hAnsi="Arial" w:cs="Arial"/>
          <w:sz w:val="20"/>
          <w:szCs w:val="20"/>
        </w:rPr>
        <w:t xml:space="preserve">Podłoże przeznaczone do obróbki musi być czyste, mocne, suche i wolne od wszelkich materiałów mogących utrudniać wnikanie i działanie preparatu (np. stare powłoki bitumiczne, zanieczyszczenia olejowe, tłuste plamy, itp.). Wykwity występujące na powierzchniach elewacyjnych usunąć przed rozpoczęciem robót. Lekko wilgotne podłoża mogą być hydrofobizowane, nie należy jednak hydrofobizować podłoży mokrych. </w:t>
      </w:r>
    </w:p>
    <w:p w:rsidR="00A251EC" w:rsidRPr="0021712B" w:rsidRDefault="00A251EC" w:rsidP="00A251EC">
      <w:pPr>
        <w:pStyle w:val="Tekstpodstawowy3"/>
        <w:spacing w:after="0"/>
        <w:jc w:val="both"/>
        <w:rPr>
          <w:rFonts w:ascii="Arial" w:hAnsi="Arial" w:cs="Arial"/>
          <w:sz w:val="20"/>
          <w:szCs w:val="20"/>
        </w:rPr>
      </w:pPr>
    </w:p>
    <w:p w:rsidR="00A251EC" w:rsidRPr="0021712B" w:rsidRDefault="00A251EC" w:rsidP="00A251EC">
      <w:pPr>
        <w:pStyle w:val="Tekstpodstawowy2"/>
        <w:numPr>
          <w:ilvl w:val="0"/>
          <w:numId w:val="6"/>
        </w:numPr>
        <w:tabs>
          <w:tab w:val="left" w:pos="284"/>
        </w:tabs>
        <w:spacing w:before="20" w:after="40" w:line="240" w:lineRule="exact"/>
        <w:jc w:val="both"/>
        <w:rPr>
          <w:rFonts w:ascii="Arial" w:hAnsi="Arial" w:cs="Arial"/>
          <w:b/>
        </w:rPr>
      </w:pPr>
      <w:r w:rsidRPr="0021712B">
        <w:rPr>
          <w:rFonts w:ascii="Arial" w:hAnsi="Arial" w:cs="Arial"/>
          <w:b/>
        </w:rPr>
        <w:t>Przygotowanie podłoża</w:t>
      </w:r>
    </w:p>
    <w:p w:rsidR="00A251EC" w:rsidRPr="0021712B" w:rsidRDefault="00A251EC" w:rsidP="00A251EC">
      <w:pPr>
        <w:pStyle w:val="Tekstpodstawowy3"/>
        <w:spacing w:after="0"/>
        <w:jc w:val="both"/>
        <w:rPr>
          <w:rFonts w:ascii="Arial" w:hAnsi="Arial" w:cs="Arial"/>
          <w:sz w:val="20"/>
          <w:szCs w:val="20"/>
        </w:rPr>
      </w:pPr>
      <w:r w:rsidRPr="0021712B">
        <w:rPr>
          <w:rFonts w:ascii="Arial" w:hAnsi="Arial" w:cs="Arial"/>
          <w:sz w:val="20"/>
          <w:szCs w:val="20"/>
        </w:rPr>
        <w:t>Wszelkie uszkodzenia naprawić przed rozpoczęciem właściwych prac. Przede wszystkim należy naprawić rysy i spękania.</w:t>
      </w:r>
    </w:p>
    <w:p w:rsidR="00A251EC" w:rsidRPr="0021712B" w:rsidRDefault="00A251EC" w:rsidP="00A251EC">
      <w:pPr>
        <w:pStyle w:val="Tekstpodstawowy3"/>
        <w:spacing w:after="0"/>
        <w:jc w:val="both"/>
        <w:rPr>
          <w:rFonts w:ascii="Arial" w:hAnsi="Arial" w:cs="Arial"/>
          <w:spacing w:val="-2"/>
          <w:sz w:val="20"/>
          <w:szCs w:val="20"/>
        </w:rPr>
      </w:pPr>
      <w:r w:rsidRPr="0021712B">
        <w:rPr>
          <w:rFonts w:ascii="Arial" w:hAnsi="Arial" w:cs="Arial"/>
          <w:spacing w:val="-2"/>
          <w:sz w:val="20"/>
          <w:szCs w:val="20"/>
        </w:rPr>
        <w:t>Przed rozpoczęciem robót hydrofobizujących elementy nie przewidziane do impregnowania, w szczególności stolarka okienna i drzwiowa, wyposażenie, oraz inne elementy takie jak np. styropian, materiały bitumiczne należy osłonić przed działaniem preparatu.</w:t>
      </w:r>
    </w:p>
    <w:p w:rsidR="00A251EC" w:rsidRPr="0021712B" w:rsidRDefault="00A251EC" w:rsidP="00A251EC">
      <w:pPr>
        <w:autoSpaceDE w:val="0"/>
        <w:autoSpaceDN w:val="0"/>
        <w:adjustRightInd w:val="0"/>
        <w:rPr>
          <w:rFonts w:ascii="Arial" w:hAnsi="Arial" w:cs="Arial"/>
          <w:bCs/>
        </w:rPr>
      </w:pPr>
    </w:p>
    <w:p w:rsidR="00A251EC" w:rsidRPr="0021712B" w:rsidRDefault="00A251EC" w:rsidP="00A251EC">
      <w:pPr>
        <w:pStyle w:val="Akapitzlist"/>
        <w:numPr>
          <w:ilvl w:val="0"/>
          <w:numId w:val="6"/>
        </w:numPr>
        <w:autoSpaceDE w:val="0"/>
        <w:autoSpaceDN w:val="0"/>
        <w:adjustRightInd w:val="0"/>
        <w:rPr>
          <w:rFonts w:ascii="Arial" w:hAnsi="Arial" w:cs="Arial"/>
          <w:b/>
          <w:bCs/>
        </w:rPr>
      </w:pPr>
      <w:r w:rsidRPr="0021712B">
        <w:rPr>
          <w:rFonts w:ascii="Arial" w:hAnsi="Arial" w:cs="Arial"/>
          <w:b/>
          <w:bCs/>
        </w:rPr>
        <w:t>Przygotowanie preparatu.</w:t>
      </w:r>
    </w:p>
    <w:p w:rsidR="00A251EC" w:rsidRPr="0021712B" w:rsidRDefault="00A251EC" w:rsidP="00A251EC">
      <w:pPr>
        <w:autoSpaceDE w:val="0"/>
        <w:autoSpaceDN w:val="0"/>
        <w:adjustRightInd w:val="0"/>
        <w:rPr>
          <w:rFonts w:ascii="Arial" w:hAnsi="Arial" w:cs="Arial"/>
          <w:bCs/>
        </w:rPr>
      </w:pPr>
      <w:r w:rsidRPr="0021712B">
        <w:rPr>
          <w:rFonts w:ascii="Arial" w:hAnsi="Arial" w:cs="Arial"/>
          <w:bCs/>
        </w:rPr>
        <w:t>Preparat należy bezpośrednio przed użyciem rozcieńczyć czystą wodą w proporcji podanej 1:20. Należy przygotować taką ilość materiału, który może być zastosowany w ciągu jednego dnia.</w:t>
      </w:r>
    </w:p>
    <w:p w:rsidR="00A251EC" w:rsidRPr="0021712B" w:rsidRDefault="00A251EC" w:rsidP="00A251EC">
      <w:pPr>
        <w:autoSpaceDE w:val="0"/>
        <w:autoSpaceDN w:val="0"/>
        <w:adjustRightInd w:val="0"/>
        <w:rPr>
          <w:rFonts w:ascii="Arial" w:hAnsi="Arial" w:cs="Arial"/>
          <w:b/>
          <w:bCs/>
        </w:rPr>
      </w:pPr>
      <w:r w:rsidRPr="0021712B">
        <w:rPr>
          <w:rFonts w:ascii="Arial" w:hAnsi="Arial" w:cs="Arial"/>
          <w:bCs/>
        </w:rPr>
        <w:lastRenderedPageBreak/>
        <w:t xml:space="preserve"> </w:t>
      </w:r>
    </w:p>
    <w:p w:rsidR="00A251EC" w:rsidRPr="0021712B" w:rsidRDefault="00A251EC" w:rsidP="00A251EC">
      <w:pPr>
        <w:pStyle w:val="Akapitzlist"/>
        <w:numPr>
          <w:ilvl w:val="0"/>
          <w:numId w:val="6"/>
        </w:numPr>
        <w:jc w:val="both"/>
        <w:rPr>
          <w:rFonts w:ascii="Arial" w:hAnsi="Arial" w:cs="Arial"/>
          <w:b/>
          <w:bCs/>
          <w:color w:val="000000"/>
          <w:spacing w:val="-1"/>
        </w:rPr>
      </w:pPr>
      <w:r w:rsidRPr="0021712B">
        <w:rPr>
          <w:rFonts w:ascii="Arial" w:hAnsi="Arial" w:cs="Arial"/>
          <w:b/>
          <w:bCs/>
          <w:color w:val="000000"/>
          <w:spacing w:val="-1"/>
        </w:rPr>
        <w:t>Wykonywanie hydrofobizacji</w:t>
      </w:r>
    </w:p>
    <w:p w:rsidR="00A251EC" w:rsidRPr="0021712B" w:rsidRDefault="00A251EC" w:rsidP="00A251EC">
      <w:pPr>
        <w:widowControl w:val="0"/>
        <w:autoSpaceDE w:val="0"/>
        <w:autoSpaceDN w:val="0"/>
        <w:adjustRightInd w:val="0"/>
        <w:jc w:val="both"/>
        <w:rPr>
          <w:rFonts w:ascii="Arial" w:hAnsi="Arial" w:cs="Arial"/>
        </w:rPr>
      </w:pPr>
      <w:r w:rsidRPr="0021712B">
        <w:rPr>
          <w:rStyle w:val="FontStyle17"/>
          <w:sz w:val="20"/>
          <w:szCs w:val="20"/>
        </w:rPr>
        <w:t xml:space="preserve">Preparat można nanosić miękkim pędzlem, ławkowcem lub metodą natrysku (np. urządzeniami do oprysku drzew) nasycając całkowicie nim podłoże. Przy nakładaniu w dwóch i więcej przejściach </w:t>
      </w:r>
      <w:r w:rsidRPr="0021712B">
        <w:rPr>
          <w:rFonts w:ascii="Arial" w:hAnsi="Arial" w:cs="Arial"/>
        </w:rPr>
        <w:t xml:space="preserve">następne nanoszenie wykonywać metodą „mokre na mokre" tzn. kolejną warstwę należy nanosić przed całkowitym wyschnięciem poprzedniej. Na powierzchniach pionowych preparat nakładać od góry do dołu. W czasie wykonywania prac należy stosować środki ochrony osobistej (okulary) oraz przestrzegać zaleceń z karty charakterystyki substancji niebezpiecznej preparatu. </w:t>
      </w:r>
    </w:p>
    <w:p w:rsidR="00A251EC" w:rsidRPr="0021712B" w:rsidRDefault="00A251EC" w:rsidP="00A251EC">
      <w:pPr>
        <w:autoSpaceDE w:val="0"/>
        <w:autoSpaceDN w:val="0"/>
        <w:adjustRightInd w:val="0"/>
        <w:jc w:val="both"/>
        <w:rPr>
          <w:rFonts w:ascii="Arial" w:hAnsi="Arial" w:cs="Arial"/>
        </w:rPr>
      </w:pPr>
      <w:r w:rsidRPr="0021712B">
        <w:rPr>
          <w:rFonts w:ascii="Arial" w:hAnsi="Arial" w:cs="Arial"/>
        </w:rPr>
        <w:t>Uwaga: zaimpregnowane powierzchnie stają się hydrofobowe i nie można na nie nakładać kolejnych warstw np. malarskich.</w:t>
      </w:r>
    </w:p>
    <w:p w:rsidR="00A251EC" w:rsidRPr="00A251EC" w:rsidRDefault="00A251EC" w:rsidP="00A251EC">
      <w:pPr>
        <w:pStyle w:val="Default"/>
      </w:pPr>
    </w:p>
    <w:p w:rsidR="00A251EC" w:rsidRPr="00A251EC" w:rsidRDefault="00A251EC" w:rsidP="00A251EC">
      <w:pPr>
        <w:pStyle w:val="Akapitzlist"/>
        <w:numPr>
          <w:ilvl w:val="0"/>
          <w:numId w:val="3"/>
        </w:numPr>
        <w:spacing w:line="360" w:lineRule="auto"/>
        <w:jc w:val="both"/>
        <w:rPr>
          <w:rFonts w:ascii="Arial" w:hAnsi="Arial" w:cs="Arial"/>
          <w:b/>
          <w:bCs/>
        </w:rPr>
      </w:pPr>
      <w:r w:rsidRPr="00A251EC">
        <w:rPr>
          <w:rFonts w:ascii="Arial" w:hAnsi="Arial" w:cs="Arial"/>
          <w:b/>
          <w:u w:val="single"/>
        </w:rPr>
        <w:t>KONTROLA JAKOŚCI</w:t>
      </w:r>
    </w:p>
    <w:p w:rsidR="00A251EC" w:rsidRPr="00BF5E1B" w:rsidRDefault="00A251EC" w:rsidP="00A251EC">
      <w:pPr>
        <w:autoSpaceDE w:val="0"/>
        <w:rPr>
          <w:rFonts w:ascii="Arial" w:hAnsi="Arial" w:cs="Arial"/>
        </w:rPr>
      </w:pPr>
      <w:r w:rsidRPr="00BF5E1B">
        <w:rPr>
          <w:rFonts w:ascii="Arial" w:hAnsi="Arial" w:cs="Arial"/>
          <w:b/>
          <w:bCs/>
        </w:rPr>
        <w:t>6.1. Ogólne zasady kontroli</w:t>
      </w:r>
    </w:p>
    <w:p w:rsidR="00A251EC" w:rsidRPr="00BF5E1B" w:rsidRDefault="00A251EC" w:rsidP="00A251EC">
      <w:pPr>
        <w:autoSpaceDE w:val="0"/>
        <w:rPr>
          <w:rFonts w:ascii="Arial" w:hAnsi="Arial" w:cs="Arial"/>
        </w:rPr>
      </w:pPr>
      <w:r w:rsidRPr="00BF5E1B">
        <w:rPr>
          <w:rFonts w:ascii="Arial" w:hAnsi="Arial" w:cs="Arial"/>
        </w:rPr>
        <w:t>Ogólne wymagania dotyczące kontroli jakości Robót podano w „Wymagania ogólne”.</w:t>
      </w:r>
    </w:p>
    <w:p w:rsidR="00A251EC" w:rsidRPr="00BF5E1B" w:rsidRDefault="00A251EC" w:rsidP="00A251EC">
      <w:pPr>
        <w:autoSpaceDE w:val="0"/>
        <w:rPr>
          <w:rFonts w:ascii="Arial" w:hAnsi="Arial" w:cs="Arial"/>
        </w:rPr>
      </w:pPr>
    </w:p>
    <w:p w:rsidR="00A251EC" w:rsidRPr="00BF5E1B" w:rsidRDefault="00A251EC" w:rsidP="00A251EC">
      <w:pPr>
        <w:autoSpaceDE w:val="0"/>
        <w:spacing w:line="360" w:lineRule="auto"/>
        <w:rPr>
          <w:rFonts w:ascii="Arial" w:hAnsi="Arial" w:cs="Arial"/>
        </w:rPr>
      </w:pPr>
      <w:r w:rsidRPr="00BF5E1B">
        <w:rPr>
          <w:rFonts w:ascii="Arial" w:hAnsi="Arial" w:cs="Arial"/>
          <w:b/>
          <w:bCs/>
        </w:rPr>
        <w:t>6.2. Podstawowe zasady bhp przy robotach budowlanych</w:t>
      </w:r>
    </w:p>
    <w:p w:rsidR="00A251EC" w:rsidRPr="00BF5E1B" w:rsidRDefault="00A251EC" w:rsidP="00A251EC">
      <w:pPr>
        <w:autoSpaceDE w:val="0"/>
        <w:rPr>
          <w:rFonts w:ascii="Arial" w:hAnsi="Arial" w:cs="Arial"/>
        </w:rPr>
      </w:pPr>
      <w:r w:rsidRPr="00BF5E1B">
        <w:rPr>
          <w:rFonts w:ascii="Arial" w:hAnsi="Arial" w:cs="Arial"/>
        </w:rPr>
        <w:t>Roboty budowlane powinien prowadzić kierownik o odpowiednich kwalifikacjach i doświadczeniu oraz zatrudniać robotników obeznanych z tego rodzaju robotami. Przez cały czas trwania robót należy pilnować, aby na plac budowy nie wchodziły osoby postronne. Teren robót należy ogrodzić i oznaczyć tablicami ostrzegawczymi. Wycinka drzew i karczowanie terenu winne być powierzone firmie posiadającej doświadczenie w tego rodzaju działalności. Prace powinny być prowadzone pod nadzorem osób uprawnionych.</w:t>
      </w:r>
    </w:p>
    <w:p w:rsidR="00A251EC" w:rsidRPr="00A251EC" w:rsidRDefault="00A251EC" w:rsidP="00A251EC">
      <w:pPr>
        <w:spacing w:line="360" w:lineRule="auto"/>
        <w:ind w:left="360"/>
        <w:jc w:val="both"/>
        <w:rPr>
          <w:rFonts w:ascii="Arial" w:hAnsi="Arial" w:cs="Arial"/>
          <w:b/>
          <w:bCs/>
        </w:rPr>
      </w:pPr>
    </w:p>
    <w:p w:rsidR="00A251EC" w:rsidRPr="00A251EC" w:rsidRDefault="00A251EC" w:rsidP="00A251EC">
      <w:pPr>
        <w:pStyle w:val="Akapitzlist"/>
        <w:numPr>
          <w:ilvl w:val="0"/>
          <w:numId w:val="3"/>
        </w:numPr>
        <w:spacing w:line="360" w:lineRule="auto"/>
        <w:jc w:val="both"/>
        <w:rPr>
          <w:rFonts w:ascii="Arial" w:hAnsi="Arial" w:cs="Arial"/>
          <w:b/>
        </w:rPr>
      </w:pPr>
      <w:r w:rsidRPr="00A251EC">
        <w:rPr>
          <w:rFonts w:ascii="Arial" w:hAnsi="Arial" w:cs="Arial"/>
          <w:b/>
          <w:u w:val="single"/>
        </w:rPr>
        <w:t>OBMIAR ROBÓT</w:t>
      </w:r>
    </w:p>
    <w:p w:rsidR="00A251EC" w:rsidRDefault="00A251EC" w:rsidP="00A251EC">
      <w:pPr>
        <w:autoSpaceDE w:val="0"/>
        <w:rPr>
          <w:rFonts w:ascii="Arial" w:hAnsi="Arial" w:cs="Arial"/>
        </w:rPr>
      </w:pPr>
      <w:r w:rsidRPr="00A251EC">
        <w:rPr>
          <w:rFonts w:ascii="Arial" w:hAnsi="Arial" w:cs="Arial"/>
        </w:rPr>
        <w:t>Ogólne wymagania dotyczące obmiaru Robót podano w „Wymagania ogólne”.</w:t>
      </w:r>
    </w:p>
    <w:p w:rsidR="00A251EC" w:rsidRPr="00A251EC" w:rsidRDefault="00A251EC" w:rsidP="00A251EC">
      <w:pPr>
        <w:autoSpaceDE w:val="0"/>
        <w:rPr>
          <w:rFonts w:ascii="Arial" w:hAnsi="Arial" w:cs="Arial"/>
        </w:rPr>
      </w:pPr>
    </w:p>
    <w:p w:rsidR="00A251EC" w:rsidRPr="00A251EC" w:rsidRDefault="00A251EC" w:rsidP="00A251EC">
      <w:pPr>
        <w:pStyle w:val="Akapitzlist"/>
        <w:numPr>
          <w:ilvl w:val="0"/>
          <w:numId w:val="3"/>
        </w:numPr>
        <w:spacing w:line="360" w:lineRule="auto"/>
        <w:jc w:val="both"/>
        <w:rPr>
          <w:rFonts w:ascii="Arial" w:hAnsi="Arial" w:cs="Arial"/>
          <w:b/>
        </w:rPr>
      </w:pPr>
      <w:r w:rsidRPr="00A251EC">
        <w:rPr>
          <w:rFonts w:ascii="Arial" w:hAnsi="Arial" w:cs="Arial"/>
          <w:b/>
          <w:u w:val="single"/>
        </w:rPr>
        <w:t>ODBIÓR TECHNICZNY ROBÓT</w:t>
      </w:r>
      <w:r>
        <w:rPr>
          <w:rFonts w:ascii="Arial" w:hAnsi="Arial" w:cs="Arial"/>
          <w:b/>
          <w:u w:val="single"/>
        </w:rPr>
        <w:t>\</w:t>
      </w:r>
    </w:p>
    <w:p w:rsidR="00A251EC" w:rsidRDefault="00A251EC" w:rsidP="00A251EC">
      <w:pPr>
        <w:autoSpaceDE w:val="0"/>
        <w:rPr>
          <w:rFonts w:ascii="Arial" w:hAnsi="Arial" w:cs="Arial"/>
        </w:rPr>
      </w:pPr>
      <w:r w:rsidRPr="00A251EC">
        <w:rPr>
          <w:rFonts w:ascii="Arial" w:hAnsi="Arial" w:cs="Arial"/>
        </w:rPr>
        <w:t>Ogólne wymagania dotyczące odbioru Robót podano w „Wymagania ogólne”. Roboty wymienione w ST podlegają odbiorowi po ich ukończeniu, jednak przed zasypaniem rozkopów.</w:t>
      </w:r>
    </w:p>
    <w:p w:rsidR="00A251EC" w:rsidRPr="00A251EC" w:rsidRDefault="00A251EC" w:rsidP="00A251EC">
      <w:pPr>
        <w:autoSpaceDE w:val="0"/>
        <w:rPr>
          <w:rFonts w:ascii="Arial" w:hAnsi="Arial" w:cs="Arial"/>
        </w:rPr>
      </w:pPr>
    </w:p>
    <w:p w:rsidR="00A251EC" w:rsidRPr="00A251EC" w:rsidRDefault="00A251EC" w:rsidP="00A251EC">
      <w:pPr>
        <w:pStyle w:val="Akapitzlist"/>
        <w:numPr>
          <w:ilvl w:val="0"/>
          <w:numId w:val="3"/>
        </w:numPr>
        <w:spacing w:line="360" w:lineRule="auto"/>
        <w:jc w:val="both"/>
        <w:rPr>
          <w:rFonts w:ascii="Arial" w:hAnsi="Arial" w:cs="Arial"/>
          <w:b/>
        </w:rPr>
      </w:pPr>
      <w:r w:rsidRPr="00A251EC">
        <w:rPr>
          <w:rFonts w:ascii="Arial" w:hAnsi="Arial" w:cs="Arial"/>
          <w:b/>
          <w:u w:val="single"/>
        </w:rPr>
        <w:t>PODSTAWA PŁATNOŚCI</w:t>
      </w:r>
    </w:p>
    <w:p w:rsidR="00A251EC" w:rsidRPr="00A251EC" w:rsidRDefault="00A251EC" w:rsidP="00A251EC">
      <w:pPr>
        <w:autoSpaceDE w:val="0"/>
        <w:rPr>
          <w:rFonts w:ascii="Arial" w:hAnsi="Arial" w:cs="Arial"/>
        </w:rPr>
      </w:pPr>
      <w:r w:rsidRPr="00A251EC">
        <w:rPr>
          <w:rFonts w:ascii="Arial" w:hAnsi="Arial" w:cs="Arial"/>
        </w:rPr>
        <w:t>Ogólne wymagania dotyczące płatności podano w „Wymagania ogólne”.</w:t>
      </w:r>
    </w:p>
    <w:p w:rsidR="00A251EC" w:rsidRPr="00A251EC" w:rsidRDefault="00A251EC" w:rsidP="00A251EC">
      <w:pPr>
        <w:spacing w:line="360" w:lineRule="auto"/>
        <w:jc w:val="both"/>
        <w:rPr>
          <w:rFonts w:ascii="Arial" w:hAnsi="Arial" w:cs="Arial"/>
          <w:b/>
        </w:rPr>
      </w:pPr>
    </w:p>
    <w:p w:rsidR="00A251EC" w:rsidRPr="00A251EC" w:rsidRDefault="00A251EC" w:rsidP="00A251EC">
      <w:pPr>
        <w:pStyle w:val="Akapitzlist"/>
        <w:numPr>
          <w:ilvl w:val="0"/>
          <w:numId w:val="3"/>
        </w:numPr>
        <w:spacing w:line="360" w:lineRule="auto"/>
        <w:jc w:val="both"/>
        <w:rPr>
          <w:rFonts w:ascii="Arial" w:hAnsi="Arial" w:cs="Arial"/>
          <w:b/>
        </w:rPr>
      </w:pPr>
      <w:r w:rsidRPr="00A251EC">
        <w:rPr>
          <w:rFonts w:ascii="Arial" w:hAnsi="Arial" w:cs="Arial"/>
          <w:b/>
          <w:u w:val="single"/>
        </w:rPr>
        <w:t>PRZEPISY ZWIĄZANE</w:t>
      </w:r>
    </w:p>
    <w:p w:rsidR="00A251EC" w:rsidRPr="00BF5E1B" w:rsidRDefault="00A251EC" w:rsidP="00A251EC">
      <w:pPr>
        <w:numPr>
          <w:ilvl w:val="0"/>
          <w:numId w:val="7"/>
        </w:numPr>
        <w:suppressAutoHyphens/>
        <w:autoSpaceDE w:val="0"/>
        <w:rPr>
          <w:rFonts w:ascii="Arial" w:hAnsi="Arial" w:cs="Arial"/>
        </w:rPr>
      </w:pPr>
      <w:r w:rsidRPr="00BF5E1B">
        <w:rPr>
          <w:rFonts w:ascii="Arial" w:hAnsi="Arial" w:cs="Arial"/>
        </w:rPr>
        <w:t>Obwieszczenie Ministra Gospodarki, Pracy i Polityki Społecznej z dnia 28 sierpnia 2003 r. w sprawie ogłoszenia jednolitego tekstu rozporządzenia Ministra Pracy i Polityki Socjalnej w sprawie ogólnych przepisów bezpieczeństwa i higieny pracy (Dz.U. 2003 nr 169 poz. 1650)</w:t>
      </w:r>
    </w:p>
    <w:p w:rsidR="00A251EC" w:rsidRPr="00BF5E1B" w:rsidRDefault="00A251EC" w:rsidP="00A251EC">
      <w:pPr>
        <w:autoSpaceDE w:val="0"/>
        <w:rPr>
          <w:rFonts w:ascii="Arial" w:hAnsi="Arial" w:cs="Arial"/>
        </w:rPr>
      </w:pPr>
    </w:p>
    <w:p w:rsidR="00A251EC" w:rsidRPr="00BF5E1B" w:rsidRDefault="00A251EC" w:rsidP="00A251EC">
      <w:pPr>
        <w:numPr>
          <w:ilvl w:val="0"/>
          <w:numId w:val="7"/>
        </w:numPr>
        <w:suppressAutoHyphens/>
        <w:autoSpaceDE w:val="0"/>
        <w:rPr>
          <w:rFonts w:ascii="Arial" w:hAnsi="Arial" w:cs="Arial"/>
        </w:rPr>
      </w:pPr>
      <w:r w:rsidRPr="00BF5E1B">
        <w:rPr>
          <w:rFonts w:ascii="Arial" w:hAnsi="Arial" w:cs="Arial"/>
        </w:rPr>
        <w:t>Rozporządzenie Ministra Infrastruktury z dnia 6 lutego 2003 r. w sprawie bezpieczeństwa i higieny pracy podczas wykonywania robót budowlanych Dz.U. 2003 nr 47 poz. 401</w:t>
      </w:r>
    </w:p>
    <w:p w:rsidR="00FC2D08" w:rsidRDefault="00FC2D08"/>
    <w:sectPr w:rsidR="00FC2D0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Liberation Serif">
    <w:panose1 w:val="02020603050405020304"/>
    <w:charset w:val="EE"/>
    <w:family w:val="roman"/>
    <w:pitch w:val="variable"/>
    <w:sig w:usb0="E0000AFF" w:usb1="500078FF" w:usb2="00000021" w:usb3="00000000" w:csb0="000001B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804E9720"/>
    <w:lvl w:ilvl="0">
      <w:numFmt w:val="bullet"/>
      <w:lvlText w:val="*"/>
      <w:lvlJc w:val="left"/>
    </w:lvl>
  </w:abstractNum>
  <w:abstractNum w:abstractNumId="1" w15:restartNumberingAfterBreak="0">
    <w:nsid w:val="00000002"/>
    <w:multiLevelType w:val="singleLevel"/>
    <w:tmpl w:val="00000002"/>
    <w:name w:val="WW8Num5"/>
    <w:lvl w:ilvl="0">
      <w:start w:val="2"/>
      <w:numFmt w:val="bullet"/>
      <w:lvlText w:val="-"/>
      <w:lvlJc w:val="left"/>
      <w:pPr>
        <w:tabs>
          <w:tab w:val="num" w:pos="360"/>
        </w:tabs>
        <w:ind w:left="360" w:hanging="360"/>
      </w:pPr>
      <w:rPr>
        <w:rFonts w:ascii="Liberation Serif" w:hAnsi="Liberation Serif"/>
        <w:b w:val="0"/>
        <w:i w:val="0"/>
      </w:rPr>
    </w:lvl>
  </w:abstractNum>
  <w:abstractNum w:abstractNumId="2" w15:restartNumberingAfterBreak="0">
    <w:nsid w:val="1A364E30"/>
    <w:multiLevelType w:val="hybridMultilevel"/>
    <w:tmpl w:val="1D28F93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1E0493F"/>
    <w:multiLevelType w:val="hybridMultilevel"/>
    <w:tmpl w:val="222A04D6"/>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 w15:restartNumberingAfterBreak="0">
    <w:nsid w:val="2CC713BC"/>
    <w:multiLevelType w:val="hybridMultilevel"/>
    <w:tmpl w:val="5E742688"/>
    <w:lvl w:ilvl="0" w:tplc="0415000F">
      <w:start w:val="1"/>
      <w:numFmt w:val="decimal"/>
      <w:lvlText w:val="%1."/>
      <w:lvlJc w:val="left"/>
      <w:pPr>
        <w:ind w:left="720" w:hanging="360"/>
      </w:pPr>
      <w:rPr>
        <w:rFonts w:hint="default"/>
        <w:u w:val="no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 w15:restartNumberingAfterBreak="0">
    <w:nsid w:val="3C1360B0"/>
    <w:multiLevelType w:val="hybridMultilevel"/>
    <w:tmpl w:val="589026C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6D3E2844"/>
    <w:multiLevelType w:val="hybridMultilevel"/>
    <w:tmpl w:val="8E9EB2D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73E14051"/>
    <w:multiLevelType w:val="hybridMultilevel"/>
    <w:tmpl w:val="5E742688"/>
    <w:lvl w:ilvl="0" w:tplc="0415000F">
      <w:start w:val="1"/>
      <w:numFmt w:val="decimal"/>
      <w:lvlText w:val="%1."/>
      <w:lvlJc w:val="left"/>
      <w:pPr>
        <w:ind w:left="720" w:hanging="360"/>
      </w:pPr>
      <w:rPr>
        <w:rFonts w:hint="default"/>
        <w:u w:val="no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106"/>
        <w:lvlJc w:val="left"/>
        <w:rPr>
          <w:rFonts w:ascii="Arial" w:hAnsi="Arial" w:hint="default"/>
        </w:rPr>
      </w:lvl>
    </w:lvlOverride>
  </w:num>
  <w:num w:numId="2">
    <w:abstractNumId w:val="7"/>
  </w:num>
  <w:num w:numId="3">
    <w:abstractNumId w:val="2"/>
  </w:num>
  <w:num w:numId="4">
    <w:abstractNumId w:val="4"/>
  </w:num>
  <w:num w:numId="5">
    <w:abstractNumId w:val="6"/>
  </w:num>
  <w:num w:numId="6">
    <w:abstractNumId w:val="5"/>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EBE"/>
    <w:rsid w:val="0021712B"/>
    <w:rsid w:val="006D7EBE"/>
    <w:rsid w:val="007A4F6C"/>
    <w:rsid w:val="009A1C93"/>
    <w:rsid w:val="00A251EC"/>
    <w:rsid w:val="00E6783E"/>
    <w:rsid w:val="00FC2D0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CB0DAA6"/>
  <w15:chartTrackingRefBased/>
  <w15:docId w15:val="{71A81BB5-C2BD-4B65-B64C-7826282E9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6D7EBE"/>
    <w:pPr>
      <w:spacing w:after="0" w:line="240" w:lineRule="auto"/>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3">
    <w:name w:val="Body Text 3"/>
    <w:basedOn w:val="Normalny"/>
    <w:link w:val="Tekstpodstawowy3Znak"/>
    <w:uiPriority w:val="99"/>
    <w:rsid w:val="006D7EBE"/>
    <w:pPr>
      <w:spacing w:after="120"/>
    </w:pPr>
    <w:rPr>
      <w:sz w:val="16"/>
      <w:szCs w:val="16"/>
    </w:rPr>
  </w:style>
  <w:style w:type="character" w:customStyle="1" w:styleId="Tekstpodstawowy3Znak">
    <w:name w:val="Tekst podstawowy 3 Znak"/>
    <w:basedOn w:val="Domylnaczcionkaakapitu"/>
    <w:link w:val="Tekstpodstawowy3"/>
    <w:uiPriority w:val="99"/>
    <w:rsid w:val="006D7EBE"/>
    <w:rPr>
      <w:rFonts w:ascii="Times New Roman" w:eastAsia="Times New Roman" w:hAnsi="Times New Roman" w:cs="Times New Roman"/>
      <w:sz w:val="16"/>
      <w:szCs w:val="16"/>
      <w:lang w:eastAsia="pl-PL"/>
    </w:rPr>
  </w:style>
  <w:style w:type="paragraph" w:styleId="Tekstpodstawowy2">
    <w:name w:val="Body Text 2"/>
    <w:basedOn w:val="Normalny"/>
    <w:link w:val="Tekstpodstawowy2Znak"/>
    <w:uiPriority w:val="99"/>
    <w:rsid w:val="006D7EBE"/>
    <w:pPr>
      <w:spacing w:after="120" w:line="480" w:lineRule="auto"/>
    </w:pPr>
  </w:style>
  <w:style w:type="character" w:customStyle="1" w:styleId="Tekstpodstawowy2Znak">
    <w:name w:val="Tekst podstawowy 2 Znak"/>
    <w:basedOn w:val="Domylnaczcionkaakapitu"/>
    <w:link w:val="Tekstpodstawowy2"/>
    <w:uiPriority w:val="99"/>
    <w:rsid w:val="006D7EBE"/>
    <w:rPr>
      <w:rFonts w:ascii="Times New Roman" w:eastAsia="Times New Roman" w:hAnsi="Times New Roman" w:cs="Times New Roman"/>
      <w:sz w:val="20"/>
      <w:szCs w:val="20"/>
      <w:lang w:eastAsia="pl-PL"/>
    </w:rPr>
  </w:style>
  <w:style w:type="paragraph" w:customStyle="1" w:styleId="Style7">
    <w:name w:val="Style7"/>
    <w:basedOn w:val="Normalny"/>
    <w:uiPriority w:val="99"/>
    <w:rsid w:val="006D7EBE"/>
    <w:pPr>
      <w:widowControl w:val="0"/>
      <w:autoSpaceDE w:val="0"/>
      <w:autoSpaceDN w:val="0"/>
      <w:adjustRightInd w:val="0"/>
    </w:pPr>
    <w:rPr>
      <w:rFonts w:ascii="Arial" w:hAnsi="Arial" w:cs="Arial"/>
      <w:sz w:val="24"/>
      <w:szCs w:val="24"/>
    </w:rPr>
  </w:style>
  <w:style w:type="character" w:customStyle="1" w:styleId="FontStyle17">
    <w:name w:val="Font Style17"/>
    <w:basedOn w:val="Domylnaczcionkaakapitu"/>
    <w:uiPriority w:val="99"/>
    <w:rsid w:val="006D7EBE"/>
    <w:rPr>
      <w:rFonts w:ascii="Arial" w:hAnsi="Arial" w:cs="Arial"/>
      <w:color w:val="000000"/>
      <w:sz w:val="18"/>
      <w:szCs w:val="18"/>
    </w:rPr>
  </w:style>
  <w:style w:type="paragraph" w:customStyle="1" w:styleId="Default">
    <w:name w:val="Default"/>
    <w:uiPriority w:val="99"/>
    <w:rsid w:val="006D7EBE"/>
    <w:pPr>
      <w:widowControl w:val="0"/>
      <w:autoSpaceDE w:val="0"/>
      <w:autoSpaceDN w:val="0"/>
      <w:adjustRightInd w:val="0"/>
      <w:spacing w:after="0" w:line="240" w:lineRule="auto"/>
    </w:pPr>
    <w:rPr>
      <w:rFonts w:ascii="Arial" w:eastAsia="Times New Roman" w:hAnsi="Arial" w:cs="Arial"/>
      <w:color w:val="000000"/>
      <w:sz w:val="24"/>
      <w:szCs w:val="24"/>
      <w:lang w:eastAsia="pl-PL"/>
    </w:rPr>
  </w:style>
  <w:style w:type="paragraph" w:customStyle="1" w:styleId="CM26">
    <w:name w:val="CM26"/>
    <w:basedOn w:val="Default"/>
    <w:next w:val="Default"/>
    <w:uiPriority w:val="99"/>
    <w:rsid w:val="006D7EBE"/>
    <w:pPr>
      <w:spacing w:after="63"/>
    </w:pPr>
    <w:rPr>
      <w:color w:val="auto"/>
    </w:rPr>
  </w:style>
  <w:style w:type="paragraph" w:customStyle="1" w:styleId="Style8">
    <w:name w:val="Style8"/>
    <w:basedOn w:val="Normalny"/>
    <w:uiPriority w:val="99"/>
    <w:rsid w:val="006D7EBE"/>
    <w:pPr>
      <w:widowControl w:val="0"/>
      <w:autoSpaceDE w:val="0"/>
      <w:autoSpaceDN w:val="0"/>
      <w:adjustRightInd w:val="0"/>
    </w:pPr>
    <w:rPr>
      <w:rFonts w:ascii="Arial" w:hAnsi="Arial" w:cs="Arial"/>
      <w:sz w:val="24"/>
      <w:szCs w:val="24"/>
    </w:rPr>
  </w:style>
  <w:style w:type="character" w:customStyle="1" w:styleId="FontStyle21">
    <w:name w:val="Font Style21"/>
    <w:basedOn w:val="Domylnaczcionkaakapitu"/>
    <w:uiPriority w:val="99"/>
    <w:rsid w:val="006D7EBE"/>
    <w:rPr>
      <w:rFonts w:ascii="Arial" w:hAnsi="Arial" w:cs="Arial"/>
      <w:b/>
      <w:bCs/>
      <w:color w:val="000000"/>
      <w:sz w:val="22"/>
      <w:szCs w:val="22"/>
    </w:rPr>
  </w:style>
  <w:style w:type="character" w:customStyle="1" w:styleId="FontStyle22">
    <w:name w:val="Font Style22"/>
    <w:basedOn w:val="Domylnaczcionkaakapitu"/>
    <w:uiPriority w:val="99"/>
    <w:rsid w:val="006D7EBE"/>
    <w:rPr>
      <w:rFonts w:ascii="Arial" w:hAnsi="Arial" w:cs="Arial"/>
      <w:color w:val="000000"/>
      <w:sz w:val="18"/>
      <w:szCs w:val="18"/>
    </w:rPr>
  </w:style>
  <w:style w:type="paragraph" w:styleId="Bezodstpw">
    <w:name w:val="No Spacing"/>
    <w:uiPriority w:val="1"/>
    <w:qFormat/>
    <w:rsid w:val="006D7EBE"/>
    <w:pPr>
      <w:spacing w:after="0" w:line="240" w:lineRule="auto"/>
    </w:pPr>
    <w:rPr>
      <w:rFonts w:ascii="Calibri" w:eastAsia="Times New Roman" w:hAnsi="Calibri" w:cs="Times New Roman"/>
      <w:lang w:eastAsia="pl-PL"/>
    </w:rPr>
  </w:style>
  <w:style w:type="paragraph" w:styleId="Akapitzlist">
    <w:name w:val="List Paragraph"/>
    <w:basedOn w:val="Normalny"/>
    <w:uiPriority w:val="34"/>
    <w:qFormat/>
    <w:rsid w:val="009A1C93"/>
    <w:pPr>
      <w:ind w:left="720"/>
      <w:contextualSpacing/>
    </w:pPr>
  </w:style>
  <w:style w:type="paragraph" w:styleId="Tekstpodstawowywcity">
    <w:name w:val="Body Text Indent"/>
    <w:basedOn w:val="Normalny"/>
    <w:link w:val="TekstpodstawowywcityZnak"/>
    <w:uiPriority w:val="99"/>
    <w:semiHidden/>
    <w:unhideWhenUsed/>
    <w:rsid w:val="0021712B"/>
    <w:pPr>
      <w:spacing w:after="120"/>
      <w:ind w:left="283"/>
    </w:pPr>
  </w:style>
  <w:style w:type="character" w:customStyle="1" w:styleId="TekstpodstawowywcityZnak">
    <w:name w:val="Tekst podstawowy wcięty Znak"/>
    <w:basedOn w:val="Domylnaczcionkaakapitu"/>
    <w:link w:val="Tekstpodstawowywcity"/>
    <w:uiPriority w:val="99"/>
    <w:semiHidden/>
    <w:rsid w:val="0021712B"/>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3</Pages>
  <Words>1084</Words>
  <Characters>6507</Characters>
  <Application>Microsoft Office Word</Application>
  <DocSecurity>0</DocSecurity>
  <Lines>54</Lines>
  <Paragraphs>15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Waz</dc:creator>
  <cp:keywords/>
  <dc:description/>
  <cp:lastModifiedBy>Monika Waz</cp:lastModifiedBy>
  <cp:revision>3</cp:revision>
  <dcterms:created xsi:type="dcterms:W3CDTF">2017-09-07T09:10:00Z</dcterms:created>
  <dcterms:modified xsi:type="dcterms:W3CDTF">2017-09-19T09:53:00Z</dcterms:modified>
</cp:coreProperties>
</file>